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275" w:rsidRDefault="00625275" w:rsidP="00625275">
      <w:pPr>
        <w:bidi w:val="0"/>
        <w:jc w:val="center"/>
        <w:rPr>
          <w:sz w:val="28"/>
          <w:szCs w:val="28"/>
        </w:rPr>
      </w:pPr>
      <w:r>
        <w:rPr>
          <w:sz w:val="28"/>
          <w:szCs w:val="28"/>
        </w:rPr>
        <w:t>Tel Aviv University</w:t>
      </w:r>
    </w:p>
    <w:p w:rsidR="00625275" w:rsidRDefault="00625275" w:rsidP="00625275">
      <w:pPr>
        <w:bidi w:val="0"/>
        <w:jc w:val="center"/>
        <w:rPr>
          <w:sz w:val="28"/>
          <w:szCs w:val="28"/>
        </w:rPr>
      </w:pPr>
      <w:r>
        <w:rPr>
          <w:sz w:val="28"/>
          <w:szCs w:val="28"/>
        </w:rPr>
        <w:t>The Lester &amp; Sally Entin Faculty of Humanities</w:t>
      </w:r>
    </w:p>
    <w:p w:rsidR="00625275" w:rsidRDefault="00625275" w:rsidP="00625275">
      <w:pPr>
        <w:bidi w:val="0"/>
        <w:jc w:val="center"/>
      </w:pPr>
      <w:r>
        <w:rPr>
          <w:sz w:val="28"/>
          <w:szCs w:val="28"/>
        </w:rPr>
        <w:t>The Shirley &amp; Leslie Porter School of Cultural Studies</w:t>
      </w:r>
    </w:p>
    <w:p w:rsidR="00625275" w:rsidRDefault="00625275" w:rsidP="00625275">
      <w:pPr>
        <w:bidi w:val="0"/>
      </w:pPr>
    </w:p>
    <w:p w:rsidR="00625275" w:rsidRDefault="00625275" w:rsidP="00625275">
      <w:pPr>
        <w:bidi w:val="0"/>
      </w:pPr>
    </w:p>
    <w:p w:rsidR="00625275" w:rsidRDefault="00625275" w:rsidP="00625275">
      <w:pPr>
        <w:bidi w:val="0"/>
      </w:pPr>
    </w:p>
    <w:p w:rsidR="00625275" w:rsidRDefault="00625275" w:rsidP="00625275">
      <w:pPr>
        <w:bidi w:val="0"/>
        <w:jc w:val="center"/>
      </w:pPr>
      <w:r>
        <w:t>Metaphorical Bodies: The Alternative to Corporeality in Contemporary Literature</w:t>
      </w:r>
    </w:p>
    <w:p w:rsidR="00625275" w:rsidRDefault="00625275" w:rsidP="00625275">
      <w:pPr>
        <w:bidi w:val="0"/>
      </w:pPr>
    </w:p>
    <w:p w:rsidR="00625275" w:rsidRDefault="00625275" w:rsidP="00625275">
      <w:pPr>
        <w:bidi w:val="0"/>
      </w:pPr>
    </w:p>
    <w:p w:rsidR="00625275" w:rsidRDefault="00625275" w:rsidP="00625275">
      <w:pPr>
        <w:bidi w:val="0"/>
        <w:jc w:val="center"/>
      </w:pPr>
      <w:r>
        <w:t>THESIS SUBMITTED FOR THE DEGREE “DOCTOR OF PHILOSOPHY”</w:t>
      </w:r>
    </w:p>
    <w:p w:rsidR="00625275" w:rsidRDefault="00625275" w:rsidP="00625275">
      <w:pPr>
        <w:bidi w:val="0"/>
      </w:pPr>
    </w:p>
    <w:p w:rsidR="00625275" w:rsidRDefault="00625275" w:rsidP="00625275">
      <w:pPr>
        <w:bidi w:val="0"/>
        <w:jc w:val="center"/>
      </w:pPr>
    </w:p>
    <w:p w:rsidR="00625275" w:rsidRDefault="00625275" w:rsidP="00625275">
      <w:pPr>
        <w:bidi w:val="0"/>
        <w:jc w:val="center"/>
        <w:rPr>
          <w:sz w:val="28"/>
          <w:szCs w:val="28"/>
        </w:rPr>
      </w:pPr>
      <w:r>
        <w:rPr>
          <w:sz w:val="28"/>
          <w:szCs w:val="28"/>
        </w:rPr>
        <w:t>by</w:t>
      </w:r>
    </w:p>
    <w:p w:rsidR="00625275" w:rsidRDefault="00625275" w:rsidP="00625275">
      <w:pPr>
        <w:bidi w:val="0"/>
        <w:jc w:val="center"/>
        <w:rPr>
          <w:sz w:val="28"/>
          <w:szCs w:val="28"/>
        </w:rPr>
      </w:pPr>
    </w:p>
    <w:p w:rsidR="00625275" w:rsidRDefault="00625275" w:rsidP="00625275">
      <w:pPr>
        <w:bidi w:val="0"/>
        <w:jc w:val="center"/>
      </w:pPr>
      <w:r>
        <w:t>Inbar Kaminsky</w:t>
      </w:r>
    </w:p>
    <w:p w:rsidR="00625275" w:rsidRDefault="00625275" w:rsidP="00625275">
      <w:pPr>
        <w:bidi w:val="0"/>
      </w:pPr>
    </w:p>
    <w:p w:rsidR="00625275" w:rsidRDefault="00625275" w:rsidP="00625275">
      <w:pPr>
        <w:bidi w:val="0"/>
        <w:jc w:val="center"/>
      </w:pPr>
      <w:r>
        <w:t xml:space="preserve">SUBMITTED TO THE SENATE OF </w:t>
      </w:r>
      <w:smartTag w:uri="urn:schemas-microsoft-com:office:smarttags" w:element="place">
        <w:smartTag w:uri="urn:schemas-microsoft-com:office:smarttags" w:element="PlaceName">
          <w:r>
            <w:t>TEL</w:t>
          </w:r>
        </w:smartTag>
        <w:r>
          <w:t xml:space="preserve"> </w:t>
        </w:r>
        <w:smartTag w:uri="urn:schemas-microsoft-com:office:smarttags" w:element="PlaceName">
          <w:r>
            <w:t>AVIV</w:t>
          </w:r>
        </w:smartTag>
        <w:r>
          <w:t xml:space="preserve"> </w:t>
        </w:r>
        <w:smartTag w:uri="urn:schemas-microsoft-com:office:smarttags" w:element="PlaceType">
          <w:r>
            <w:t>UNIVERSITY</w:t>
          </w:r>
        </w:smartTag>
      </w:smartTag>
    </w:p>
    <w:p w:rsidR="00625275" w:rsidRDefault="00625275" w:rsidP="00625275">
      <w:pPr>
        <w:bidi w:val="0"/>
        <w:jc w:val="center"/>
      </w:pPr>
      <w:r>
        <w:t>March, 2015</w:t>
      </w:r>
    </w:p>
    <w:p w:rsidR="00625275" w:rsidRDefault="00625275" w:rsidP="00625275">
      <w:pPr>
        <w:bidi w:val="0"/>
        <w:jc w:val="center"/>
      </w:pPr>
    </w:p>
    <w:p w:rsidR="00625275" w:rsidRDefault="00625275" w:rsidP="00625275">
      <w:pPr>
        <w:bidi w:val="0"/>
        <w:jc w:val="center"/>
      </w:pPr>
    </w:p>
    <w:p w:rsidR="00625275" w:rsidRDefault="00625275" w:rsidP="00625275"/>
    <w:p w:rsidR="00625275" w:rsidRDefault="00625275" w:rsidP="00625275">
      <w:pPr>
        <w:rPr>
          <w:rFonts w:hint="cs"/>
          <w:rtl/>
        </w:rPr>
      </w:pPr>
    </w:p>
    <w:p w:rsidR="00625275" w:rsidRDefault="00625275" w:rsidP="00625275">
      <w:pPr>
        <w:rPr>
          <w:rFonts w:hint="cs"/>
          <w:rtl/>
        </w:rPr>
      </w:pPr>
    </w:p>
    <w:p w:rsidR="00625275" w:rsidRDefault="00625275" w:rsidP="00625275">
      <w:pPr>
        <w:bidi w:val="0"/>
        <w:rPr>
          <w:rtl/>
        </w:rPr>
        <w:sectPr w:rsidR="00625275">
          <w:pgSz w:w="11906" w:h="16838"/>
          <w:pgMar w:top="1440" w:right="1440" w:bottom="1440" w:left="1440" w:header="709" w:footer="709" w:gutter="0"/>
          <w:pgNumType w:start="1"/>
          <w:cols w:space="720"/>
          <w:bidi/>
          <w:rtlGutter/>
        </w:sectPr>
      </w:pPr>
    </w:p>
    <w:p w:rsidR="00625275" w:rsidRDefault="00625275" w:rsidP="00625275">
      <w:pPr>
        <w:pStyle w:val="2"/>
        <w:keepNext w:val="0"/>
        <w:rPr>
          <w:rFonts w:hint="cs"/>
          <w:rtl/>
        </w:rPr>
      </w:pPr>
      <w:r>
        <w:rPr>
          <w:rtl/>
        </w:rPr>
        <w:lastRenderedPageBreak/>
        <w:t>אוניברסיטת תל-אביב</w:t>
      </w:r>
    </w:p>
    <w:p w:rsidR="00625275" w:rsidRDefault="00625275" w:rsidP="00625275">
      <w:pPr>
        <w:jc w:val="center"/>
        <w:rPr>
          <w:sz w:val="28"/>
          <w:szCs w:val="28"/>
          <w:rtl/>
        </w:rPr>
      </w:pPr>
      <w:r>
        <w:rPr>
          <w:rFonts w:hint="cs"/>
          <w:sz w:val="28"/>
          <w:szCs w:val="28"/>
          <w:rtl/>
        </w:rPr>
        <w:t>הפקולטה למדעי הרוח ע"ש לסטר וסאלי אנטין</w:t>
      </w:r>
    </w:p>
    <w:p w:rsidR="00625275" w:rsidRDefault="00625275" w:rsidP="00625275">
      <w:pPr>
        <w:jc w:val="center"/>
        <w:rPr>
          <w:rFonts w:hint="cs"/>
          <w:rtl/>
        </w:rPr>
      </w:pPr>
      <w:r>
        <w:rPr>
          <w:rFonts w:hint="cs"/>
          <w:sz w:val="28"/>
          <w:szCs w:val="28"/>
          <w:rtl/>
        </w:rPr>
        <w:t>בית הספר למדעי התרבות ע"ש שירלי ולסלי פורטר</w:t>
      </w:r>
    </w:p>
    <w:p w:rsidR="00625275" w:rsidRDefault="00625275" w:rsidP="00625275">
      <w:pPr>
        <w:rPr>
          <w:rFonts w:hint="cs"/>
          <w:rtl/>
        </w:rPr>
      </w:pPr>
    </w:p>
    <w:p w:rsidR="00625275" w:rsidRDefault="00625275" w:rsidP="00625275">
      <w:pPr>
        <w:jc w:val="center"/>
        <w:rPr>
          <w:rFonts w:hint="cs"/>
          <w:rtl/>
        </w:rPr>
      </w:pPr>
    </w:p>
    <w:p w:rsidR="00625275" w:rsidRDefault="00625275" w:rsidP="00625275">
      <w:pPr>
        <w:jc w:val="center"/>
        <w:rPr>
          <w:rFonts w:hint="cs"/>
          <w:rtl/>
        </w:rPr>
      </w:pPr>
    </w:p>
    <w:p w:rsidR="00625275" w:rsidRDefault="00625275" w:rsidP="00625275">
      <w:pPr>
        <w:jc w:val="center"/>
        <w:rPr>
          <w:rFonts w:hint="cs"/>
          <w:rtl/>
        </w:rPr>
      </w:pPr>
      <w:r>
        <w:rPr>
          <w:rFonts w:hint="cs"/>
          <w:sz w:val="32"/>
          <w:szCs w:val="32"/>
          <w:rtl/>
        </w:rPr>
        <w:t>גופים מטפוריים: האלטרנטיבה לגשמיות בספרות עכשווית</w:t>
      </w:r>
      <w:r w:rsidRPr="00625275">
        <w:rPr>
          <w:rFonts w:hint="cs"/>
          <w:rtl/>
        </w:rPr>
        <w:t xml:space="preserve"> </w:t>
      </w:r>
    </w:p>
    <w:p w:rsidR="00625275" w:rsidRDefault="00625275" w:rsidP="00625275">
      <w:pPr>
        <w:bidi w:val="0"/>
        <w:jc w:val="center"/>
        <w:rPr>
          <w:rFonts w:hint="cs"/>
          <w:rtl/>
        </w:rPr>
      </w:pPr>
      <w:r>
        <w:t>Metaphorical Bodies: The Alternative to Corporeality in Contemporary Literature</w:t>
      </w:r>
    </w:p>
    <w:p w:rsidR="00625275" w:rsidRDefault="00625275" w:rsidP="00625275">
      <w:pPr>
        <w:rPr>
          <w:sz w:val="32"/>
          <w:szCs w:val="32"/>
        </w:rPr>
      </w:pPr>
    </w:p>
    <w:p w:rsidR="00625275" w:rsidRPr="00625275" w:rsidRDefault="00625275" w:rsidP="00625275">
      <w:pPr>
        <w:jc w:val="center"/>
        <w:rPr>
          <w:rFonts w:hint="cs"/>
          <w:sz w:val="32"/>
          <w:szCs w:val="32"/>
          <w:rtl/>
        </w:rPr>
      </w:pPr>
    </w:p>
    <w:p w:rsidR="00625275" w:rsidRDefault="00625275" w:rsidP="00625275">
      <w:pPr>
        <w:rPr>
          <w:rFonts w:hint="cs"/>
          <w:sz w:val="32"/>
          <w:szCs w:val="32"/>
          <w:rtl/>
        </w:rPr>
      </w:pPr>
    </w:p>
    <w:p w:rsidR="00625275" w:rsidRDefault="00625275" w:rsidP="00625275">
      <w:pPr>
        <w:pStyle w:val="2"/>
        <w:keepNext w:val="0"/>
        <w:rPr>
          <w:rFonts w:hint="cs"/>
          <w:rtl/>
        </w:rPr>
      </w:pPr>
      <w:r>
        <w:rPr>
          <w:rtl/>
        </w:rPr>
        <w:t>חיבור לשם קבלת התואר   "דוקטור לפילוסופיה  "</w:t>
      </w:r>
    </w:p>
    <w:p w:rsidR="00625275" w:rsidRDefault="00625275" w:rsidP="00625275">
      <w:pPr>
        <w:pStyle w:val="2"/>
        <w:keepNext w:val="0"/>
        <w:rPr>
          <w:rtl/>
        </w:rPr>
      </w:pPr>
      <w:r>
        <w:rPr>
          <w:rtl/>
        </w:rPr>
        <w:t>מאת</w:t>
      </w:r>
    </w:p>
    <w:p w:rsidR="00625275" w:rsidRDefault="00625275" w:rsidP="00625275">
      <w:pPr>
        <w:jc w:val="center"/>
        <w:rPr>
          <w:rFonts w:hint="cs"/>
          <w:sz w:val="28"/>
          <w:szCs w:val="28"/>
          <w:rtl/>
        </w:rPr>
      </w:pPr>
      <w:r>
        <w:rPr>
          <w:rFonts w:hint="cs"/>
          <w:sz w:val="28"/>
          <w:szCs w:val="28"/>
          <w:rtl/>
        </w:rPr>
        <w:t>ענבר קמינסקי</w:t>
      </w:r>
    </w:p>
    <w:p w:rsidR="00625275" w:rsidRDefault="00625275" w:rsidP="00625275">
      <w:pPr>
        <w:jc w:val="center"/>
        <w:rPr>
          <w:rFonts w:hint="cs"/>
          <w:sz w:val="28"/>
          <w:szCs w:val="28"/>
          <w:rtl/>
        </w:rPr>
      </w:pPr>
    </w:p>
    <w:p w:rsidR="00625275" w:rsidRDefault="00625275" w:rsidP="00625275">
      <w:pPr>
        <w:jc w:val="center"/>
        <w:rPr>
          <w:rFonts w:hint="cs"/>
          <w:sz w:val="28"/>
          <w:szCs w:val="28"/>
          <w:rtl/>
        </w:rPr>
      </w:pPr>
      <w:r>
        <w:rPr>
          <w:rFonts w:hint="cs"/>
          <w:sz w:val="28"/>
          <w:szCs w:val="28"/>
          <w:rtl/>
        </w:rPr>
        <w:t>ה</w:t>
      </w:r>
      <w:r>
        <w:rPr>
          <w:rFonts w:hint="cs"/>
          <w:sz w:val="28"/>
          <w:szCs w:val="28"/>
          <w:rtl/>
        </w:rPr>
        <w:t>וגש לסנאט של אוניברסיטת תל-אביב</w:t>
      </w:r>
    </w:p>
    <w:p w:rsidR="00625275" w:rsidRDefault="00625275" w:rsidP="00625275">
      <w:pPr>
        <w:jc w:val="center"/>
        <w:rPr>
          <w:rFonts w:hint="cs"/>
          <w:sz w:val="28"/>
          <w:szCs w:val="28"/>
          <w:rtl/>
        </w:rPr>
      </w:pPr>
      <w:r>
        <w:rPr>
          <w:rFonts w:hint="cs"/>
          <w:rtl/>
        </w:rPr>
        <w:t>מרץ, 2015</w:t>
      </w:r>
    </w:p>
    <w:p w:rsidR="00625275" w:rsidRDefault="00625275" w:rsidP="00625275">
      <w:pPr>
        <w:bidi w:val="0"/>
        <w:rPr>
          <w:rFonts w:hint="cs"/>
          <w:rtl/>
        </w:rPr>
      </w:pPr>
    </w:p>
    <w:p w:rsidR="00625275" w:rsidRDefault="00625275" w:rsidP="00625275">
      <w:pPr>
        <w:jc w:val="center"/>
        <w:rPr>
          <w:rFonts w:hint="cs"/>
          <w:rtl/>
        </w:rPr>
      </w:pPr>
    </w:p>
    <w:p w:rsidR="008054A8" w:rsidRPr="00CC3DCF" w:rsidRDefault="000443D9" w:rsidP="00CC3DCF">
      <w:pPr>
        <w:spacing w:line="480" w:lineRule="auto"/>
        <w:rPr>
          <w:rtl/>
        </w:rPr>
      </w:pPr>
      <w:bookmarkStart w:id="0" w:name="_GoBack"/>
      <w:bookmarkEnd w:id="0"/>
      <w:r w:rsidRPr="00CC3DCF">
        <w:rPr>
          <w:rFonts w:hint="cs"/>
          <w:rtl/>
        </w:rPr>
        <w:t xml:space="preserve">תקציר </w:t>
      </w:r>
    </w:p>
    <w:p w:rsidR="008054A8" w:rsidRDefault="008054A8" w:rsidP="00684CC5">
      <w:pPr>
        <w:spacing w:line="480" w:lineRule="auto"/>
        <w:rPr>
          <w:rtl/>
        </w:rPr>
      </w:pPr>
    </w:p>
    <w:p w:rsidR="00AC0550" w:rsidRDefault="0024255A" w:rsidP="00E24B9F">
      <w:pPr>
        <w:spacing w:line="480" w:lineRule="auto"/>
        <w:rPr>
          <w:rtl/>
        </w:rPr>
      </w:pPr>
      <w:r>
        <w:rPr>
          <w:rFonts w:hint="cs"/>
          <w:rtl/>
        </w:rPr>
        <w:t xml:space="preserve">ישנה מגמה בקרב הספרות העכשווית אשר לא זכתה לתשומת הלב הראויה לה ברמה המחקרית </w:t>
      </w:r>
      <w:r>
        <w:rPr>
          <w:rtl/>
        </w:rPr>
        <w:t>–</w:t>
      </w:r>
      <w:r>
        <w:rPr>
          <w:rFonts w:hint="cs"/>
          <w:rtl/>
        </w:rPr>
        <w:t xml:space="preserve"> הנטישה ש</w:t>
      </w:r>
      <w:r w:rsidR="002E1735">
        <w:rPr>
          <w:rFonts w:hint="cs"/>
          <w:rtl/>
        </w:rPr>
        <w:t xml:space="preserve">ל הגוף הפיסי לטובת </w:t>
      </w:r>
      <w:r w:rsidR="00EB1CD3">
        <w:rPr>
          <w:rFonts w:hint="cs"/>
          <w:rtl/>
        </w:rPr>
        <w:t>ה</w:t>
      </w:r>
      <w:r w:rsidR="002E1735">
        <w:rPr>
          <w:rFonts w:hint="cs"/>
          <w:rtl/>
        </w:rPr>
        <w:t xml:space="preserve">גוף </w:t>
      </w:r>
      <w:r w:rsidR="00EB1CD3">
        <w:rPr>
          <w:rFonts w:hint="cs"/>
          <w:rtl/>
        </w:rPr>
        <w:t>ה</w:t>
      </w:r>
      <w:r w:rsidR="002E1735">
        <w:rPr>
          <w:rFonts w:hint="cs"/>
          <w:rtl/>
        </w:rPr>
        <w:t xml:space="preserve">מטפורי. </w:t>
      </w:r>
      <w:r w:rsidR="002B18F8">
        <w:rPr>
          <w:rFonts w:hint="cs"/>
          <w:rtl/>
        </w:rPr>
        <w:t xml:space="preserve">המחקר שלי </w:t>
      </w:r>
      <w:r w:rsidR="00684CC5">
        <w:rPr>
          <w:rFonts w:hint="cs"/>
          <w:rtl/>
        </w:rPr>
        <w:t>סוק</w:t>
      </w:r>
      <w:r w:rsidR="002B18F8">
        <w:rPr>
          <w:rFonts w:hint="cs"/>
          <w:rtl/>
        </w:rPr>
        <w:t xml:space="preserve">ר את מגמה זאת </w:t>
      </w:r>
      <w:r w:rsidR="00E24B9F">
        <w:rPr>
          <w:rFonts w:hint="cs"/>
          <w:rtl/>
        </w:rPr>
        <w:t>ברמת ניתוח הסיפורת</w:t>
      </w:r>
      <w:r w:rsidR="002B18F8">
        <w:rPr>
          <w:rFonts w:hint="cs"/>
          <w:rtl/>
        </w:rPr>
        <w:t xml:space="preserve">, </w:t>
      </w:r>
      <w:r w:rsidR="00EB1CD3">
        <w:rPr>
          <w:rFonts w:hint="cs"/>
          <w:rtl/>
        </w:rPr>
        <w:t>הסגנון והז'אנר</w:t>
      </w:r>
      <w:r w:rsidR="002E1735">
        <w:rPr>
          <w:rFonts w:hint="cs"/>
          <w:rtl/>
        </w:rPr>
        <w:t>.</w:t>
      </w:r>
      <w:r w:rsidR="00E24B9F">
        <w:rPr>
          <w:rFonts w:hint="cs"/>
          <w:rtl/>
        </w:rPr>
        <w:t xml:space="preserve"> ההבחנה הראשונית ש</w:t>
      </w:r>
      <w:r w:rsidR="008C55F6">
        <w:rPr>
          <w:rFonts w:hint="cs"/>
          <w:rtl/>
        </w:rPr>
        <w:t xml:space="preserve">מחקר </w:t>
      </w:r>
      <w:r w:rsidR="00E24B9F">
        <w:rPr>
          <w:rFonts w:hint="cs"/>
          <w:rtl/>
        </w:rPr>
        <w:t xml:space="preserve">זה </w:t>
      </w:r>
      <w:r w:rsidR="00684CC5">
        <w:rPr>
          <w:rFonts w:hint="cs"/>
          <w:rtl/>
        </w:rPr>
        <w:t>מבסס</w:t>
      </w:r>
      <w:r w:rsidR="008C55F6">
        <w:rPr>
          <w:rFonts w:hint="cs"/>
          <w:rtl/>
        </w:rPr>
        <w:t xml:space="preserve"> היא בין הגוף הפיסי של אנשים בשר ודם המתקיימים מחוץ לטקסט והגוף הספרותי, אשר מתייחס לגוף הדמויות המתקיימות בעולם הבדיוני </w:t>
      </w:r>
      <w:r w:rsidR="00EB1CD3">
        <w:rPr>
          <w:rFonts w:hint="cs"/>
          <w:rtl/>
        </w:rPr>
        <w:t>שה</w:t>
      </w:r>
      <w:r w:rsidR="008C55F6">
        <w:rPr>
          <w:rFonts w:hint="cs"/>
          <w:rtl/>
        </w:rPr>
        <w:t>טקסט יוצר.</w:t>
      </w:r>
      <w:r w:rsidR="00684CC5">
        <w:rPr>
          <w:rFonts w:hint="cs"/>
          <w:rtl/>
        </w:rPr>
        <w:t xml:space="preserve"> </w:t>
      </w:r>
      <w:r w:rsidR="00AC0550">
        <w:rPr>
          <w:rFonts w:hint="cs"/>
          <w:rtl/>
        </w:rPr>
        <w:t xml:space="preserve">ניתן לומר כי הגוף המטפורי הוא למעשה התגובה לפער ההולך וגדל בין הגוף הפיסי לגוף הספרותי </w:t>
      </w:r>
      <w:r w:rsidR="00AC0550">
        <w:rPr>
          <w:rtl/>
        </w:rPr>
        <w:t>–</w:t>
      </w:r>
      <w:r w:rsidR="00AC0550">
        <w:rPr>
          <w:rFonts w:hint="cs"/>
          <w:rtl/>
        </w:rPr>
        <w:t xml:space="preserve"> בעוד הגוף הפיסי נותר בשלמותו מחוץ לטקסט, הגוף הספרותי עובר </w:t>
      </w:r>
      <w:r w:rsidR="00DB3CB8">
        <w:rPr>
          <w:rFonts w:hint="cs"/>
          <w:rtl/>
        </w:rPr>
        <w:t xml:space="preserve">בשנים האחרונות </w:t>
      </w:r>
      <w:r w:rsidR="00AC0550">
        <w:rPr>
          <w:rFonts w:hint="cs"/>
          <w:rtl/>
        </w:rPr>
        <w:t>תהליך של</w:t>
      </w:r>
      <w:r w:rsidR="00DB3CB8">
        <w:rPr>
          <w:rFonts w:hint="cs"/>
          <w:rtl/>
        </w:rPr>
        <w:t xml:space="preserve"> דה-מטריאליזציה. תהליך זה יוצר חלל של ייצוג ספרותי, כאשר הדמויות אינן מיוצגות כגשמיות</w:t>
      </w:r>
      <w:r w:rsidR="008D37ED">
        <w:rPr>
          <w:rFonts w:hint="cs"/>
          <w:rtl/>
        </w:rPr>
        <w:t xml:space="preserve"> במלוא מובן המילה ובשל כך, הן </w:t>
      </w:r>
      <w:r w:rsidR="00EF780B">
        <w:rPr>
          <w:rFonts w:hint="cs"/>
          <w:rtl/>
        </w:rPr>
        <w:t>הדמות הראשית ו/או המספר</w:t>
      </w:r>
      <w:r w:rsidR="00E24B9F">
        <w:rPr>
          <w:rFonts w:hint="cs"/>
          <w:rtl/>
        </w:rPr>
        <w:t xml:space="preserve"> </w:t>
      </w:r>
      <w:r w:rsidR="008D37ED">
        <w:rPr>
          <w:rFonts w:hint="cs"/>
          <w:rtl/>
        </w:rPr>
        <w:t>והן הקורא מנסים למצוא תחליף לגשמיות.</w:t>
      </w:r>
    </w:p>
    <w:p w:rsidR="000C0C88" w:rsidRDefault="008D37ED" w:rsidP="002A0872">
      <w:pPr>
        <w:spacing w:line="480" w:lineRule="auto"/>
        <w:rPr>
          <w:rtl/>
        </w:rPr>
      </w:pPr>
      <w:r>
        <w:rPr>
          <w:rFonts w:hint="cs"/>
          <w:rtl/>
        </w:rPr>
        <w:lastRenderedPageBreak/>
        <w:tab/>
      </w:r>
      <w:r w:rsidR="0056339D">
        <w:rPr>
          <w:rFonts w:hint="cs"/>
          <w:rtl/>
        </w:rPr>
        <w:t xml:space="preserve">המחקר למעשה </w:t>
      </w:r>
      <w:r w:rsidR="00684CC5">
        <w:rPr>
          <w:rFonts w:hint="cs"/>
          <w:rtl/>
        </w:rPr>
        <w:t>מ</w:t>
      </w:r>
      <w:r w:rsidR="0056339D">
        <w:rPr>
          <w:rFonts w:hint="cs"/>
          <w:rtl/>
        </w:rPr>
        <w:t xml:space="preserve">נסח מחדש את שאלת הייצוג של גשמיות בספרות על ידי הצבת הגוף המטפורי כאלטרנטיבה הטקסטואלית היחידה לגוף הפיסי. בנוסף, המחקר </w:t>
      </w:r>
      <w:r w:rsidR="002A0872">
        <w:rPr>
          <w:rFonts w:hint="cs"/>
          <w:rtl/>
        </w:rPr>
        <w:t>מ</w:t>
      </w:r>
      <w:r w:rsidR="0056339D">
        <w:rPr>
          <w:rFonts w:hint="cs"/>
          <w:rtl/>
        </w:rPr>
        <w:t>עלה את הטענה כי ההתמקדות המחקרית בגוף הספרותי היא מוטע</w:t>
      </w:r>
      <w:r w:rsidR="00E25492">
        <w:rPr>
          <w:rFonts w:hint="cs"/>
          <w:rtl/>
        </w:rPr>
        <w:t>י</w:t>
      </w:r>
      <w:r w:rsidR="0056339D">
        <w:rPr>
          <w:rFonts w:hint="cs"/>
          <w:rtl/>
        </w:rPr>
        <w:t>ת מיסודה, שכן הגוף הספרותי הפך זה מכבר לקליפה ריקה אשר אינה מסוגלת להכיל את מורכבות הייצוג של הגוף הפיסי בספרות העכשוויות.</w:t>
      </w:r>
      <w:r w:rsidR="00684CC5">
        <w:rPr>
          <w:rFonts w:hint="cs"/>
          <w:rtl/>
        </w:rPr>
        <w:t xml:space="preserve"> </w:t>
      </w:r>
      <w:r w:rsidR="000C0C88">
        <w:rPr>
          <w:rFonts w:hint="cs"/>
          <w:rtl/>
        </w:rPr>
        <w:t xml:space="preserve">הגוף המטפורי הוא למעשה האנטיתזה של הגוף הספרותי ובמידה רבה גם של הגוף הפיסי </w:t>
      </w:r>
      <w:r w:rsidR="000C0C88">
        <w:rPr>
          <w:rtl/>
        </w:rPr>
        <w:t>–</w:t>
      </w:r>
      <w:r w:rsidR="000C0C88">
        <w:rPr>
          <w:rFonts w:hint="cs"/>
          <w:rtl/>
        </w:rPr>
        <w:t xml:space="preserve"> הוא אינו מוגבל על ידי גבולותיה של הגשמיות, והיכולת שלו להכיל את הסוכנים הטקסטואליים עובדת אך ורק במישור הרגשי, הכוללת הן את רמת ההזדהות של הדמויות והן את רמת ההזדהות של הקורא. מגוון הגופים המטפור</w:t>
      </w:r>
      <w:r w:rsidR="005778D5">
        <w:rPr>
          <w:rFonts w:hint="cs"/>
          <w:rtl/>
        </w:rPr>
        <w:t>י</w:t>
      </w:r>
      <w:r w:rsidR="00E25492">
        <w:rPr>
          <w:rFonts w:hint="cs"/>
          <w:rtl/>
        </w:rPr>
        <w:t>ים הוא אינ</w:t>
      </w:r>
      <w:r w:rsidR="000C0C88">
        <w:rPr>
          <w:rFonts w:hint="cs"/>
          <w:rtl/>
        </w:rPr>
        <w:t xml:space="preserve">סופי </w:t>
      </w:r>
      <w:r w:rsidR="000C0C88">
        <w:rPr>
          <w:rtl/>
        </w:rPr>
        <w:t>–</w:t>
      </w:r>
      <w:r w:rsidR="000C0C88">
        <w:rPr>
          <w:rFonts w:hint="cs"/>
          <w:rtl/>
        </w:rPr>
        <w:t xml:space="preserve"> כל אובייקט יכול להפוך לגוף מטפורי לאחר תהליך אינטנסיבי של האנשה</w:t>
      </w:r>
      <w:r w:rsidR="00173953">
        <w:rPr>
          <w:rFonts w:hint="cs"/>
          <w:rtl/>
        </w:rPr>
        <w:t xml:space="preserve"> </w:t>
      </w:r>
      <w:r w:rsidR="000C0C88">
        <w:rPr>
          <w:rFonts w:hint="cs"/>
          <w:rtl/>
        </w:rPr>
        <w:t>כל עוד התהליך מתואר באופן עקבי לאורך העלילה</w:t>
      </w:r>
      <w:r w:rsidR="00684CC5">
        <w:rPr>
          <w:rFonts w:hint="cs"/>
          <w:rtl/>
        </w:rPr>
        <w:t xml:space="preserve"> והאנשה זאת יוצרת הזדהות רגשית עמוק</w:t>
      </w:r>
      <w:r w:rsidR="00EF780B">
        <w:rPr>
          <w:rFonts w:hint="cs"/>
          <w:rtl/>
        </w:rPr>
        <w:t>ה בקרב הדמות הראשית ו/או המספר</w:t>
      </w:r>
      <w:r w:rsidR="000C0C88">
        <w:rPr>
          <w:rFonts w:hint="cs"/>
          <w:rtl/>
        </w:rPr>
        <w:t xml:space="preserve">. </w:t>
      </w:r>
      <w:r w:rsidR="00173953">
        <w:rPr>
          <w:rFonts w:hint="cs"/>
          <w:rtl/>
        </w:rPr>
        <w:t>אפשרות נוספת ליצירת הגוף המטפורי הוא בעקבות תהליך של ע</w:t>
      </w:r>
      <w:r w:rsidR="00E25492">
        <w:rPr>
          <w:rFonts w:hint="cs"/>
          <w:rtl/>
        </w:rPr>
        <w:t>ומס יתר על אחד ה</w:t>
      </w:r>
      <w:r w:rsidR="00684CC5">
        <w:rPr>
          <w:rFonts w:hint="cs"/>
          <w:rtl/>
        </w:rPr>
        <w:t>חו</w:t>
      </w:r>
      <w:r w:rsidR="00EF780B">
        <w:rPr>
          <w:rFonts w:hint="cs"/>
          <w:rtl/>
        </w:rPr>
        <w:t>שים של הדמות הראשית ו/או המספר</w:t>
      </w:r>
      <w:r w:rsidR="00684CC5">
        <w:rPr>
          <w:rFonts w:hint="cs"/>
          <w:rtl/>
        </w:rPr>
        <w:t>, אשר יוצר מצב של הזדהות רגשית עם המכשול החושי</w:t>
      </w:r>
      <w:r w:rsidR="00173953">
        <w:rPr>
          <w:rFonts w:hint="cs"/>
          <w:rtl/>
        </w:rPr>
        <w:t>.</w:t>
      </w:r>
    </w:p>
    <w:p w:rsidR="00FF074C" w:rsidRDefault="00EB1CD3" w:rsidP="00EC115E">
      <w:pPr>
        <w:spacing w:line="480" w:lineRule="auto"/>
        <w:ind w:firstLine="720"/>
        <w:rPr>
          <w:rtl/>
        </w:rPr>
      </w:pPr>
      <w:r>
        <w:rPr>
          <w:rFonts w:hint="cs"/>
          <w:rtl/>
        </w:rPr>
        <w:t xml:space="preserve">המסגרת התיאורטית של המחקר </w:t>
      </w:r>
      <w:r w:rsidR="009E44A0">
        <w:rPr>
          <w:rFonts w:hint="cs"/>
          <w:rtl/>
        </w:rPr>
        <w:t>כוללת את</w:t>
      </w:r>
      <w:r>
        <w:rPr>
          <w:rFonts w:hint="cs"/>
          <w:rtl/>
        </w:rPr>
        <w:t xml:space="preserve"> הפוסט-נשגב והבלתי מיוצג מאת </w:t>
      </w:r>
      <w:r w:rsidR="00AB176E" w:rsidRPr="009311F0">
        <w:rPr>
          <w:color w:val="000000"/>
          <w:rtl/>
        </w:rPr>
        <w:t>ז'אן פרנסואה</w:t>
      </w:r>
      <w:r w:rsidR="00AB176E" w:rsidRPr="00AB176E">
        <w:rPr>
          <w:b/>
          <w:bCs/>
          <w:color w:val="000000"/>
          <w:rtl/>
        </w:rPr>
        <w:t xml:space="preserve"> </w:t>
      </w:r>
      <w:r w:rsidR="00AB176E" w:rsidRPr="00AB176E">
        <w:rPr>
          <w:rStyle w:val="a3"/>
          <w:b w:val="0"/>
          <w:bCs w:val="0"/>
          <w:color w:val="000000"/>
          <w:rtl/>
        </w:rPr>
        <w:t>ליוטאר</w:t>
      </w:r>
      <w:r>
        <w:rPr>
          <w:rFonts w:hint="cs"/>
          <w:rtl/>
        </w:rPr>
        <w:t>, שני מושגים המתייחסים למצב האמנות</w:t>
      </w:r>
      <w:r w:rsidR="00AB176E">
        <w:rPr>
          <w:rFonts w:hint="cs"/>
          <w:rtl/>
        </w:rPr>
        <w:t xml:space="preserve"> והספרות</w:t>
      </w:r>
      <w:r>
        <w:rPr>
          <w:rFonts w:hint="cs"/>
          <w:rtl/>
        </w:rPr>
        <w:t xml:space="preserve"> בעידן הפוסט מודרנ</w:t>
      </w:r>
      <w:r>
        <w:rPr>
          <w:rFonts w:hint="eastAsia"/>
          <w:rtl/>
        </w:rPr>
        <w:t>י</w:t>
      </w:r>
      <w:r w:rsidR="009E44A0">
        <w:rPr>
          <w:rFonts w:hint="cs"/>
          <w:rtl/>
        </w:rPr>
        <w:t>.</w:t>
      </w:r>
      <w:r w:rsidR="003A222B">
        <w:rPr>
          <w:rFonts w:hint="cs"/>
          <w:rtl/>
        </w:rPr>
        <w:t xml:space="preserve"> האירוע המטריאל</w:t>
      </w:r>
      <w:r w:rsidR="003A222B">
        <w:rPr>
          <w:rFonts w:hint="eastAsia"/>
          <w:rtl/>
        </w:rPr>
        <w:t>י</w:t>
      </w:r>
      <w:r w:rsidR="00134A23">
        <w:rPr>
          <w:rFonts w:hint="cs"/>
          <w:rtl/>
        </w:rPr>
        <w:t>, העומד בבסיסו של הפוסט-נשגב כאירוע המתרחש ללא התערבות קוגניטיבי</w:t>
      </w:r>
      <w:r w:rsidR="00134A23">
        <w:rPr>
          <w:rFonts w:hint="eastAsia"/>
          <w:rtl/>
        </w:rPr>
        <w:t>ת</w:t>
      </w:r>
      <w:r w:rsidR="00134A23">
        <w:rPr>
          <w:rFonts w:hint="cs"/>
          <w:rtl/>
        </w:rPr>
        <w:t xml:space="preserve"> או חושית, מהווה תשתית תיאורטית להיווצרות הבלתי מתווכת של הגוף המטפורי </w:t>
      </w:r>
      <w:r w:rsidR="008F0EC9">
        <w:rPr>
          <w:rFonts w:hint="cs"/>
          <w:rtl/>
        </w:rPr>
        <w:t>במרחב הבלתי אפשרי המאגד את עינו של הקורא ועינו של הדמות הראשית ו/או המספר</w:t>
      </w:r>
      <w:r w:rsidR="00134A23">
        <w:rPr>
          <w:rFonts w:hint="cs"/>
          <w:rtl/>
        </w:rPr>
        <w:t>.</w:t>
      </w:r>
      <w:r w:rsidR="003F0988">
        <w:rPr>
          <w:rFonts w:hint="cs"/>
          <w:rtl/>
        </w:rPr>
        <w:t xml:space="preserve"> מושג נוסף הנגזר</w:t>
      </w:r>
      <w:r w:rsidR="00D41B2E">
        <w:rPr>
          <w:rFonts w:hint="cs"/>
          <w:rtl/>
        </w:rPr>
        <w:t xml:space="preserve"> מתיאוריית הפוסט-נשגב של ליוטאר</w:t>
      </w:r>
      <w:r w:rsidR="003F0988">
        <w:rPr>
          <w:rFonts w:hint="cs"/>
          <w:rtl/>
        </w:rPr>
        <w:t xml:space="preserve"> ומתכתב עם יצירת הגוף המטפורי הוא נוכחות מתקרבת </w:t>
      </w:r>
      <w:r w:rsidR="003F0988">
        <w:rPr>
          <w:rtl/>
        </w:rPr>
        <w:t>–</w:t>
      </w:r>
      <w:r w:rsidR="003F0988">
        <w:rPr>
          <w:rFonts w:hint="cs"/>
          <w:rtl/>
        </w:rPr>
        <w:t xml:space="preserve"> </w:t>
      </w:r>
      <w:r w:rsidR="00134A23">
        <w:rPr>
          <w:rFonts w:hint="cs"/>
          <w:rtl/>
        </w:rPr>
        <w:t xml:space="preserve"> </w:t>
      </w:r>
      <w:r w:rsidR="00840DF9">
        <w:rPr>
          <w:rFonts w:hint="cs"/>
          <w:rtl/>
        </w:rPr>
        <w:t xml:space="preserve">נוכחות ללא מימד ויזואלי אשר </w:t>
      </w:r>
      <w:r w:rsidR="00AC3ECE">
        <w:rPr>
          <w:rFonts w:hint="cs"/>
          <w:rtl/>
        </w:rPr>
        <w:t>מאפשרת</w:t>
      </w:r>
      <w:r w:rsidR="00840DF9">
        <w:rPr>
          <w:rFonts w:hint="cs"/>
          <w:rtl/>
        </w:rPr>
        <w:t xml:space="preserve"> ק</w:t>
      </w:r>
      <w:r w:rsidR="00AC3ECE">
        <w:rPr>
          <w:rFonts w:hint="cs"/>
          <w:rtl/>
        </w:rPr>
        <w:t>ליטה</w:t>
      </w:r>
      <w:r w:rsidR="00840DF9">
        <w:rPr>
          <w:rFonts w:hint="cs"/>
          <w:rtl/>
        </w:rPr>
        <w:t xml:space="preserve"> לא מודע</w:t>
      </w:r>
      <w:r w:rsidR="00AC3ECE">
        <w:rPr>
          <w:rFonts w:hint="cs"/>
          <w:rtl/>
        </w:rPr>
        <w:t>ת</w:t>
      </w:r>
      <w:r w:rsidR="00840DF9">
        <w:rPr>
          <w:rFonts w:hint="cs"/>
          <w:rtl/>
        </w:rPr>
        <w:t xml:space="preserve"> של ניואנסי</w:t>
      </w:r>
      <w:r w:rsidR="00840DF9">
        <w:rPr>
          <w:rFonts w:hint="eastAsia"/>
          <w:rtl/>
        </w:rPr>
        <w:t>ם</w:t>
      </w:r>
      <w:r w:rsidR="00840DF9">
        <w:rPr>
          <w:rFonts w:hint="cs"/>
          <w:rtl/>
        </w:rPr>
        <w:t xml:space="preserve"> מטריאליים</w:t>
      </w:r>
      <w:r w:rsidR="00AC3ECE">
        <w:rPr>
          <w:rFonts w:hint="cs"/>
          <w:rtl/>
        </w:rPr>
        <w:t>. ניתן גם להמשיג את הנוכחות המתקרבת כמטריאליות פיגורטיבית</w:t>
      </w:r>
      <w:r w:rsidR="00FF074C">
        <w:rPr>
          <w:rFonts w:hint="cs"/>
          <w:rtl/>
        </w:rPr>
        <w:t xml:space="preserve">, מכיוון שהיא מטריאלית מעצם היותה נוכחות אך הינה גם לא-מטריאלית מעצם היותה קדומה לגשמיות של השפה, השימוש </w:t>
      </w:r>
      <w:r w:rsidR="00EC115E">
        <w:rPr>
          <w:rFonts w:hint="cs"/>
          <w:rtl/>
        </w:rPr>
        <w:t>ב</w:t>
      </w:r>
      <w:r w:rsidR="00D41B2E">
        <w:rPr>
          <w:rFonts w:hint="cs"/>
          <w:rtl/>
        </w:rPr>
        <w:t>ציר הזמן תואם להגדרתו של ליוטאר</w:t>
      </w:r>
      <w:r w:rsidR="00EC115E">
        <w:rPr>
          <w:rFonts w:hint="cs"/>
          <w:rtl/>
        </w:rPr>
        <w:t xml:space="preserve"> על מנת להמשיג הפרדה שאינה נוצרת על בסיס קודם של איחוד</w:t>
      </w:r>
      <w:r w:rsidR="00FF074C">
        <w:rPr>
          <w:rFonts w:hint="cs"/>
          <w:rtl/>
        </w:rPr>
        <w:t>.</w:t>
      </w:r>
      <w:r w:rsidR="00840DF9">
        <w:rPr>
          <w:rFonts w:hint="cs"/>
          <w:rtl/>
        </w:rPr>
        <w:t xml:space="preserve">  </w:t>
      </w:r>
    </w:p>
    <w:p w:rsidR="00B00808" w:rsidRDefault="009E44A0" w:rsidP="00D41B2E">
      <w:pPr>
        <w:spacing w:line="480" w:lineRule="auto"/>
        <w:ind w:firstLine="720"/>
        <w:rPr>
          <w:rtl/>
        </w:rPr>
      </w:pPr>
      <w:r>
        <w:rPr>
          <w:rFonts w:hint="cs"/>
          <w:rtl/>
        </w:rPr>
        <w:t>כמו כן,</w:t>
      </w:r>
      <w:r w:rsidR="00EB1CD3">
        <w:rPr>
          <w:rFonts w:hint="cs"/>
          <w:rtl/>
        </w:rPr>
        <w:t xml:space="preserve"> המחקר </w:t>
      </w:r>
      <w:r w:rsidR="006B400A">
        <w:rPr>
          <w:rFonts w:hint="cs"/>
          <w:rtl/>
        </w:rPr>
        <w:t>עוסק</w:t>
      </w:r>
      <w:r w:rsidR="00EB1CD3">
        <w:rPr>
          <w:rFonts w:hint="cs"/>
          <w:rtl/>
        </w:rPr>
        <w:t xml:space="preserve"> </w:t>
      </w:r>
      <w:r w:rsidR="00A53B8D">
        <w:rPr>
          <w:rFonts w:hint="cs"/>
          <w:rtl/>
        </w:rPr>
        <w:t>ב</w:t>
      </w:r>
      <w:r w:rsidR="00134A23">
        <w:rPr>
          <w:rFonts w:hint="cs"/>
          <w:rtl/>
        </w:rPr>
        <w:t>תיאוריית הגוף</w:t>
      </w:r>
      <w:r w:rsidR="00EB1CD3">
        <w:rPr>
          <w:rFonts w:hint="cs"/>
          <w:rtl/>
        </w:rPr>
        <w:t xml:space="preserve"> </w:t>
      </w:r>
      <w:r w:rsidR="00134A23">
        <w:rPr>
          <w:rFonts w:hint="cs"/>
          <w:rtl/>
        </w:rPr>
        <w:t>המצוי בתהליך של כאב מאת איליין סק</w:t>
      </w:r>
      <w:r w:rsidR="003D7359">
        <w:rPr>
          <w:rFonts w:hint="cs"/>
          <w:rtl/>
        </w:rPr>
        <w:t>א</w:t>
      </w:r>
      <w:r w:rsidR="00134A23">
        <w:rPr>
          <w:rFonts w:hint="cs"/>
          <w:rtl/>
        </w:rPr>
        <w:t xml:space="preserve">רי וההתנגדות שנוצרת </w:t>
      </w:r>
      <w:r w:rsidR="00B00808">
        <w:rPr>
          <w:rFonts w:hint="cs"/>
          <w:rtl/>
        </w:rPr>
        <w:t xml:space="preserve">כתוצאה מתהליך זה </w:t>
      </w:r>
      <w:r w:rsidR="00DF6D35">
        <w:rPr>
          <w:rFonts w:hint="cs"/>
          <w:rtl/>
        </w:rPr>
        <w:t>להת</w:t>
      </w:r>
      <w:r w:rsidR="006924F2">
        <w:rPr>
          <w:rFonts w:hint="cs"/>
          <w:rtl/>
        </w:rPr>
        <w:t>נהלות</w:t>
      </w:r>
      <w:r w:rsidR="00134A23">
        <w:rPr>
          <w:rFonts w:hint="cs"/>
          <w:rtl/>
        </w:rPr>
        <w:t xml:space="preserve"> מילולית</w:t>
      </w:r>
      <w:r w:rsidR="00B00808">
        <w:rPr>
          <w:rFonts w:hint="cs"/>
          <w:rtl/>
        </w:rPr>
        <w:t xml:space="preserve"> </w:t>
      </w:r>
      <w:r w:rsidR="00D41B2E">
        <w:rPr>
          <w:rFonts w:hint="cs"/>
          <w:rtl/>
        </w:rPr>
        <w:t>והקשר שלה לבלתי מיוצג של ליוטאר</w:t>
      </w:r>
      <w:r w:rsidR="00A53B8D">
        <w:rPr>
          <w:rFonts w:hint="cs"/>
          <w:rtl/>
        </w:rPr>
        <w:t xml:space="preserve">, אשר טוען כי </w:t>
      </w:r>
      <w:r w:rsidR="006924F2">
        <w:rPr>
          <w:rFonts w:hint="cs"/>
          <w:rtl/>
        </w:rPr>
        <w:t>בעידן של הפוסט-נשגב</w:t>
      </w:r>
      <w:r w:rsidR="00A53B8D">
        <w:rPr>
          <w:rFonts w:hint="cs"/>
          <w:rtl/>
        </w:rPr>
        <w:t xml:space="preserve"> הבלתי מיוצג והמיוצג מעוררים את אותו תהליך של התנגדות מילולית</w:t>
      </w:r>
      <w:r w:rsidR="005C1976">
        <w:rPr>
          <w:rFonts w:hint="cs"/>
          <w:rtl/>
        </w:rPr>
        <w:t xml:space="preserve">. </w:t>
      </w:r>
      <w:r w:rsidR="00EE2409">
        <w:rPr>
          <w:rFonts w:hint="cs"/>
          <w:rtl/>
        </w:rPr>
        <w:t xml:space="preserve">השפה </w:t>
      </w:r>
      <w:r w:rsidR="00EE2409">
        <w:rPr>
          <w:rFonts w:hint="cs"/>
          <w:rtl/>
        </w:rPr>
        <w:lastRenderedPageBreak/>
        <w:t xml:space="preserve">ללא ספק נעדרת מהיווצרות האירוע המטריאלי אשר מעצב את הגוף המטפורי מכיוון </w:t>
      </w:r>
      <w:r w:rsidR="006924F2">
        <w:rPr>
          <w:rFonts w:hint="cs"/>
          <w:rtl/>
        </w:rPr>
        <w:t>שהאירוע המטריאלי</w:t>
      </w:r>
      <w:r w:rsidR="00D41B2E">
        <w:rPr>
          <w:rFonts w:hint="cs"/>
          <w:rtl/>
        </w:rPr>
        <w:t xml:space="preserve"> </w:t>
      </w:r>
      <w:r w:rsidR="006924F2">
        <w:rPr>
          <w:rFonts w:hint="cs"/>
          <w:rtl/>
        </w:rPr>
        <w:t xml:space="preserve">אינו נקלט בתהליכים מודעים. </w:t>
      </w:r>
    </w:p>
    <w:p w:rsidR="006C7A7E" w:rsidRDefault="00CB59FD" w:rsidP="006C7A7E">
      <w:pPr>
        <w:spacing w:line="480" w:lineRule="auto"/>
        <w:ind w:firstLine="720"/>
        <w:rPr>
          <w:rtl/>
        </w:rPr>
      </w:pPr>
      <w:r>
        <w:rPr>
          <w:rFonts w:hint="cs"/>
          <w:rtl/>
        </w:rPr>
        <w:t>בנוסף, צירי הזמן של הרומ</w:t>
      </w:r>
      <w:r w:rsidR="00011184">
        <w:rPr>
          <w:rFonts w:hint="cs"/>
          <w:rtl/>
        </w:rPr>
        <w:t xml:space="preserve">נים </w:t>
      </w:r>
      <w:r w:rsidR="004D7CB5">
        <w:rPr>
          <w:rFonts w:hint="cs"/>
          <w:rtl/>
        </w:rPr>
        <w:t>נבחנים</w:t>
      </w:r>
      <w:r w:rsidR="00011184">
        <w:rPr>
          <w:rFonts w:hint="cs"/>
          <w:rtl/>
        </w:rPr>
        <w:t xml:space="preserve"> בהקשר לתיאוריות כגון הכרונוטופ של מיכאל בכטין וההווה הנצחי של</w:t>
      </w:r>
      <w:r w:rsidR="00011184" w:rsidRPr="007E5A31">
        <w:rPr>
          <w:rtl/>
        </w:rPr>
        <w:t xml:space="preserve"> </w:t>
      </w:r>
      <w:r w:rsidR="00011184" w:rsidRPr="007E5A31">
        <w:rPr>
          <w:shd w:val="clear" w:color="auto" w:fill="FFFFFF"/>
          <w:rtl/>
        </w:rPr>
        <w:t>ז'יל</w:t>
      </w:r>
      <w:r w:rsidR="00011184" w:rsidRPr="007E5A31">
        <w:t> </w:t>
      </w:r>
      <w:r w:rsidR="00011184" w:rsidRPr="007E5A31">
        <w:rPr>
          <w:rtl/>
        </w:rPr>
        <w:t>דלז</w:t>
      </w:r>
      <w:r w:rsidR="00B06626">
        <w:rPr>
          <w:rFonts w:hint="cs"/>
          <w:rtl/>
        </w:rPr>
        <w:t>,</w:t>
      </w:r>
      <w:r w:rsidR="004D7CB5">
        <w:rPr>
          <w:rFonts w:hint="cs"/>
          <w:rtl/>
        </w:rPr>
        <w:t xml:space="preserve"> המשגת המבנה </w:t>
      </w:r>
      <w:r w:rsidR="00B06626">
        <w:rPr>
          <w:rFonts w:hint="cs"/>
          <w:rtl/>
        </w:rPr>
        <w:t>ה</w:t>
      </w:r>
      <w:r>
        <w:rPr>
          <w:rFonts w:hint="cs"/>
          <w:rtl/>
        </w:rPr>
        <w:t>מעגלי של מימד הזמן ברומ</w:t>
      </w:r>
      <w:r w:rsidR="004D7CB5">
        <w:rPr>
          <w:rFonts w:hint="cs"/>
          <w:rtl/>
        </w:rPr>
        <w:t xml:space="preserve">נים אלו </w:t>
      </w:r>
      <w:r w:rsidR="00B06626">
        <w:rPr>
          <w:rFonts w:hint="cs"/>
          <w:rtl/>
        </w:rPr>
        <w:t>חשוב להבנת היווצרותו של הגוף המטפורי</w:t>
      </w:r>
      <w:r w:rsidR="006C7A7E">
        <w:rPr>
          <w:rFonts w:hint="cs"/>
          <w:rtl/>
        </w:rPr>
        <w:t xml:space="preserve"> ואף מתכתב עם המשגתו של ליוטאר אודות מימד הזמן של הפוסט-נשגב, אשר הינו קדום להימצאות השפה אך באותה מידה מונצח על ידי היעדרות השפה. כל הרומנים הנבחנים בתזה זאת מציגים נזילות של אירועים אשר אינם ניתנים לקטלוג ברור בזמן עבר או הווה בשל המבנה החזרתי שלהם. </w:t>
      </w:r>
    </w:p>
    <w:p w:rsidR="006C7A7E" w:rsidRDefault="00B00808" w:rsidP="004F5907">
      <w:pPr>
        <w:spacing w:line="480" w:lineRule="auto"/>
        <w:ind w:firstLine="720"/>
        <w:rPr>
          <w:rtl/>
        </w:rPr>
      </w:pPr>
      <w:r>
        <w:rPr>
          <w:rFonts w:hint="cs"/>
          <w:rtl/>
        </w:rPr>
        <w:t>נושא נוסף</w:t>
      </w:r>
      <w:r w:rsidR="00011184">
        <w:rPr>
          <w:rFonts w:hint="cs"/>
          <w:rtl/>
        </w:rPr>
        <w:t xml:space="preserve"> בעל חשיבות להיווצרותו של הגוף המטפורי הינו המרחב </w:t>
      </w:r>
      <w:r w:rsidR="009E44A0">
        <w:rPr>
          <w:rFonts w:hint="cs"/>
          <w:rtl/>
        </w:rPr>
        <w:t>הוויזואל</w:t>
      </w:r>
      <w:r w:rsidR="009E44A0">
        <w:rPr>
          <w:rFonts w:hint="eastAsia"/>
          <w:rtl/>
        </w:rPr>
        <w:t>י</w:t>
      </w:r>
      <w:r w:rsidR="00011184">
        <w:rPr>
          <w:rFonts w:hint="cs"/>
          <w:rtl/>
        </w:rPr>
        <w:t xml:space="preserve"> והמשגתו נעזרת בתיאוריות כגון הפנאופטיקון של מישל </w:t>
      </w:r>
      <w:r w:rsidR="009E44A0">
        <w:rPr>
          <w:rFonts w:hint="cs"/>
          <w:rtl/>
        </w:rPr>
        <w:t>פוקו</w:t>
      </w:r>
      <w:r w:rsidR="008F0EC9">
        <w:rPr>
          <w:rFonts w:hint="cs"/>
          <w:rtl/>
        </w:rPr>
        <w:t>,</w:t>
      </w:r>
      <w:r w:rsidR="00A47070">
        <w:rPr>
          <w:rFonts w:hint="cs"/>
          <w:rtl/>
        </w:rPr>
        <w:t xml:space="preserve"> מכיוון ש</w:t>
      </w:r>
      <w:r>
        <w:rPr>
          <w:rFonts w:hint="cs"/>
          <w:rtl/>
        </w:rPr>
        <w:t>ההפרדה אשר פוקו יוצר בין ההוויה ו</w:t>
      </w:r>
      <w:r w:rsidR="00D17A8B">
        <w:rPr>
          <w:rFonts w:hint="cs"/>
          <w:rtl/>
        </w:rPr>
        <w:t>הראייה</w:t>
      </w:r>
      <w:r w:rsidR="003B5FB8">
        <w:rPr>
          <w:rFonts w:hint="cs"/>
          <w:rtl/>
        </w:rPr>
        <w:t xml:space="preserve"> מתכתבת עם חווית הקריאה הייחודי</w:t>
      </w:r>
      <w:r w:rsidR="003B5FB8">
        <w:rPr>
          <w:rFonts w:hint="eastAsia"/>
          <w:rtl/>
        </w:rPr>
        <w:t>ת</w:t>
      </w:r>
      <w:r w:rsidR="00CB59FD">
        <w:rPr>
          <w:rFonts w:hint="cs"/>
          <w:rtl/>
        </w:rPr>
        <w:t xml:space="preserve"> של רומ</w:t>
      </w:r>
      <w:r w:rsidR="003B5FB8">
        <w:rPr>
          <w:rFonts w:hint="cs"/>
          <w:rtl/>
        </w:rPr>
        <w:t>נים אלו</w:t>
      </w:r>
      <w:r w:rsidR="009E44A0">
        <w:rPr>
          <w:rFonts w:hint="cs"/>
          <w:rtl/>
        </w:rPr>
        <w:t xml:space="preserve">. </w:t>
      </w:r>
      <w:r w:rsidR="006C7A7E">
        <w:rPr>
          <w:rFonts w:hint="cs"/>
          <w:rtl/>
        </w:rPr>
        <w:t>מתוך הקבלה לתיאוריית הפנאופטיקון, ניתן לבסס כי הגוף המטפורי הוא תגובה פיגורטיבית להפרדה בין ראייה להוויה כסוג של הוויה אשר אינה מכילה קלטים חושיים של תהליך מודע אלא הוויה אשר מתקיימת כנוכחות מתקרבת של הפוסט-נשגב. הן האנשה והן עומס חושי הם אמצעים פיגורטיביים המבטאים נוכחות מתקרבת במרחב הטקסטואלי, בניגוד לנוכחות מטריאלית שלמה אשר לרוב מוצגת באמצעות תיאורים ספרותיים ישירים.</w:t>
      </w:r>
    </w:p>
    <w:p w:rsidR="0035303C" w:rsidRDefault="006C7A7E" w:rsidP="006C7A7E">
      <w:pPr>
        <w:spacing w:line="480" w:lineRule="auto"/>
        <w:ind w:firstLine="720"/>
        <w:rPr>
          <w:rtl/>
        </w:rPr>
      </w:pPr>
      <w:r>
        <w:rPr>
          <w:rFonts w:hint="cs"/>
          <w:rtl/>
        </w:rPr>
        <w:t xml:space="preserve">התהליכים הפיגורטיביים הללו יוצרים תהליך של דה-מטריאליזציה של הגוף הספרותי מכיוון שהם מרוקנים את הגוף הספרותי מהגשמיות שלו ברמת ההזדהות הן של הדמות הראשית ו/או המספר והן של הקורא. לפיכך, התקדמות תהליך ההאנשה או העומס החושי במהלך העלילה יוצרת אלטרנטיבה לגשמיות, גוף מטפורי המורכב מאיבר ההזדהות </w:t>
      </w:r>
      <w:r>
        <w:rPr>
          <w:rtl/>
        </w:rPr>
        <w:t>–</w:t>
      </w:r>
      <w:r>
        <w:rPr>
          <w:rFonts w:hint="cs"/>
          <w:rtl/>
        </w:rPr>
        <w:t xml:space="preserve"> עינו של הקורא ועינו של הדמות הראשית ו/או המספר. למעשה, בעוד כל חווית קריאה יוצרת פנאופטיקון בו הקורא רואה אך אינו יכול להיראות והדמות הראשית ו/או המספר נראה אך אינו יכול להחזיר מבט, הרומנים בתזה זאת יוצרים את האירוע המטריאלי, המרחב הבלתי אפשרי בו העין החוץ-דיאגטית של הקורא 'פוגשת' את העין הדיאגטית של הדמות הראשית ו/או המספר תוך כדי יצירת הגוף המטפורי.</w:t>
      </w:r>
    </w:p>
    <w:p w:rsidR="00994496" w:rsidRDefault="009E44A0" w:rsidP="007433F5">
      <w:pPr>
        <w:spacing w:line="480" w:lineRule="auto"/>
        <w:ind w:firstLine="720"/>
        <w:rPr>
          <w:rtl/>
        </w:rPr>
      </w:pPr>
      <w:r>
        <w:rPr>
          <w:rFonts w:hint="cs"/>
          <w:rtl/>
        </w:rPr>
        <w:t>המחקר מקנ</w:t>
      </w:r>
      <w:r w:rsidR="00CB59FD">
        <w:rPr>
          <w:rFonts w:hint="cs"/>
          <w:rtl/>
        </w:rPr>
        <w:t>ה חשיבות לחוויית הקריאה של הרומ</w:t>
      </w:r>
      <w:r>
        <w:rPr>
          <w:rFonts w:hint="cs"/>
          <w:rtl/>
        </w:rPr>
        <w:t>נים מכיוון שה</w:t>
      </w:r>
      <w:r w:rsidR="008054A8">
        <w:rPr>
          <w:rFonts w:hint="cs"/>
          <w:rtl/>
        </w:rPr>
        <w:t>יווצרות הגוף המטפורי מתרחשת במהלך הקריאה ולקורא יש תפקיד לא מודע בתהליך,</w:t>
      </w:r>
      <w:r>
        <w:rPr>
          <w:rFonts w:hint="cs"/>
          <w:rtl/>
        </w:rPr>
        <w:t xml:space="preserve"> נושא זה </w:t>
      </w:r>
      <w:r w:rsidR="008054A8">
        <w:rPr>
          <w:rFonts w:hint="cs"/>
          <w:rtl/>
        </w:rPr>
        <w:t xml:space="preserve">מיוצג על ידי מושג טבור החלום של </w:t>
      </w:r>
      <w:r w:rsidR="008054A8">
        <w:rPr>
          <w:rFonts w:hint="cs"/>
          <w:rtl/>
        </w:rPr>
        <w:lastRenderedPageBreak/>
        <w:t>זיגמונד פרויד ומושג תענוג הטקסט של רולנד בראת.</w:t>
      </w:r>
      <w:r w:rsidR="0035303C">
        <w:rPr>
          <w:rFonts w:hint="cs"/>
          <w:rtl/>
        </w:rPr>
        <w:t xml:space="preserve"> שני מושגים אלו עוסקים במרחב בלתי אפשרי</w:t>
      </w:r>
      <w:r w:rsidR="007433F5">
        <w:rPr>
          <w:rFonts w:hint="cs"/>
          <w:rtl/>
        </w:rPr>
        <w:t xml:space="preserve"> בהקשר של המפגש התיאורטי בין חווית הקריאה לבין התפתחות העלילה. טבור החלום של פרויד ממקם את נקודת השבר של החלום, נקודת הניקוז אשר מתנגדת לכל פירוש מילולי של החלום ובמובן זה ניתן להמשיל את משבר זה על כל טקסט ולהקביל את החולם לקורא של הטקסט. תענוג הטקסט של בראת עוסק באתר של אושר אשר אינו ניתן לחיזוי על ידי הסופר ואף אינו עוסק בקורא ספציפי אלא בחוו</w:t>
      </w:r>
      <w:r w:rsidR="00525ED2">
        <w:rPr>
          <w:rFonts w:hint="cs"/>
          <w:rtl/>
        </w:rPr>
        <w:t>י</w:t>
      </w:r>
      <w:r w:rsidR="007433F5">
        <w:rPr>
          <w:rFonts w:hint="cs"/>
          <w:rtl/>
        </w:rPr>
        <w:t xml:space="preserve">ית הקריאה </w:t>
      </w:r>
      <w:r w:rsidR="00525ED2">
        <w:rPr>
          <w:rFonts w:hint="cs"/>
          <w:rtl/>
        </w:rPr>
        <w:t>כמבנה</w:t>
      </w:r>
      <w:r w:rsidR="00747AA4">
        <w:rPr>
          <w:rFonts w:hint="cs"/>
          <w:rtl/>
        </w:rPr>
        <w:t>, אלמנטים אלו מתכתבים עם היווצרות הגוף המטפורי במרחב הממזג את התחום הדיאגטי של הטקסט והתחום החוץ-דיאגטי של הקורא.</w:t>
      </w:r>
    </w:p>
    <w:p w:rsidR="00CB59FD" w:rsidRDefault="00CB59FD" w:rsidP="00843B1B">
      <w:pPr>
        <w:spacing w:line="480" w:lineRule="auto"/>
        <w:ind w:firstLine="720"/>
        <w:rPr>
          <w:rtl/>
        </w:rPr>
      </w:pPr>
      <w:r>
        <w:rPr>
          <w:rFonts w:hint="cs"/>
          <w:rtl/>
        </w:rPr>
        <w:t>כמו כן, המחקר מתווה את המבנה ה</w:t>
      </w:r>
      <w:r w:rsidRPr="00CB59FD">
        <w:rPr>
          <w:rtl/>
        </w:rPr>
        <w:t>ליבי</w:t>
      </w:r>
      <w:r w:rsidR="00D41B2E">
        <w:rPr>
          <w:rtl/>
        </w:rPr>
        <w:t>דינ</w:t>
      </w:r>
      <w:r w:rsidRPr="00CB59FD">
        <w:rPr>
          <w:rtl/>
        </w:rPr>
        <w:t>לי</w:t>
      </w:r>
      <w:r w:rsidRPr="00CB59FD">
        <w:rPr>
          <w:rFonts w:hint="cs"/>
          <w:rtl/>
        </w:rPr>
        <w:t xml:space="preserve"> </w:t>
      </w:r>
      <w:r>
        <w:rPr>
          <w:rFonts w:hint="cs"/>
          <w:rtl/>
        </w:rPr>
        <w:t>של הרומנים הנכללים בתזה, אשר מותיר את העין של הקורא ושל הדמות הראשית ו/או המספר על פני השטח, תוך היעזרות במושגים מתוך "כלכלה לי</w:t>
      </w:r>
      <w:r w:rsidR="00D41B2E">
        <w:rPr>
          <w:rFonts w:hint="cs"/>
          <w:rtl/>
        </w:rPr>
        <w:t>ב</w:t>
      </w:r>
      <w:r>
        <w:rPr>
          <w:rFonts w:hint="cs"/>
          <w:rtl/>
        </w:rPr>
        <w:t>י</w:t>
      </w:r>
      <w:r w:rsidR="00D41B2E">
        <w:rPr>
          <w:rFonts w:hint="cs"/>
          <w:rtl/>
        </w:rPr>
        <w:t>דינלית" מאת ליוטאר ו"חברת הראווה" מאת גי דבור</w:t>
      </w:r>
      <w:r w:rsidR="0035303C">
        <w:rPr>
          <w:rFonts w:hint="cs"/>
          <w:rtl/>
        </w:rPr>
        <w:t>. התמה של עודף ליבידינ</w:t>
      </w:r>
      <w:r>
        <w:rPr>
          <w:rFonts w:hint="cs"/>
          <w:rtl/>
        </w:rPr>
        <w:t>לי היא חלק בלתי נפרד מהיווצרות הגוף המטפורי ברומנים</w:t>
      </w:r>
      <w:r w:rsidR="00E26614">
        <w:rPr>
          <w:rFonts w:hint="cs"/>
          <w:rtl/>
        </w:rPr>
        <w:t>, בין אם באופן מפורש או באופן מרומז. בעוד חלק מהרומנים</w:t>
      </w:r>
      <w:r w:rsidR="00843B1B">
        <w:rPr>
          <w:rFonts w:hint="cs"/>
          <w:rtl/>
        </w:rPr>
        <w:t xml:space="preserve"> כגון "הדרך" ו"איש נופל"</w:t>
      </w:r>
      <w:r w:rsidR="00E26614">
        <w:rPr>
          <w:rFonts w:hint="cs"/>
          <w:rtl/>
        </w:rPr>
        <w:t xml:space="preserve"> מצביעים בבירור על תמת העודף בהקשר של קפיטליזם, </w:t>
      </w:r>
      <w:r w:rsidR="00843B1B">
        <w:rPr>
          <w:rFonts w:hint="cs"/>
          <w:rtl/>
        </w:rPr>
        <w:t xml:space="preserve">שאר </w:t>
      </w:r>
      <w:r w:rsidR="00E26614">
        <w:rPr>
          <w:rFonts w:hint="cs"/>
          <w:rtl/>
        </w:rPr>
        <w:t>הרומנים עוסקים בתמת העודף בהקשר שאינם כלכליים.</w:t>
      </w:r>
    </w:p>
    <w:p w:rsidR="00D956E2" w:rsidRDefault="00D956E2" w:rsidP="0035303C">
      <w:pPr>
        <w:spacing w:line="480" w:lineRule="auto"/>
        <w:ind w:firstLine="720"/>
        <w:rPr>
          <w:rtl/>
        </w:rPr>
      </w:pPr>
      <w:r>
        <w:rPr>
          <w:rFonts w:hint="cs"/>
          <w:rtl/>
        </w:rPr>
        <w:t xml:space="preserve">חשוב להדגיש כי תופעת הגוף המטפורי נבדלת מתופעת הגוף הפוסט-הומני, אשר לרוב מייצגת מיזוג של גוף האדם וטכנולוגיה, על אף שישנו דמיון מסוים בין שתי המגמות והוא נוגע </w:t>
      </w:r>
      <w:r w:rsidR="00524561">
        <w:rPr>
          <w:rFonts w:hint="cs"/>
          <w:rtl/>
        </w:rPr>
        <w:t xml:space="preserve">בהצגת אלטרנטיבה </w:t>
      </w:r>
      <w:r w:rsidR="0035303C">
        <w:rPr>
          <w:rFonts w:hint="cs"/>
          <w:rtl/>
        </w:rPr>
        <w:t>לגשמיות. אולם, הגוף המטפורי מציע</w:t>
      </w:r>
      <w:r w:rsidR="00524561">
        <w:rPr>
          <w:rFonts w:hint="cs"/>
          <w:rtl/>
        </w:rPr>
        <w:t xml:space="preserve"> אלטרנטיבה שהיא באופן מובהק איננה מטריאלית בעוד הגוף הפוסט-הומני מציע אלטרנטיבה מטריאלית. </w:t>
      </w:r>
      <w:r w:rsidR="007D5B29">
        <w:rPr>
          <w:rFonts w:hint="cs"/>
          <w:rtl/>
        </w:rPr>
        <w:t xml:space="preserve">המחקר </w:t>
      </w:r>
      <w:r w:rsidR="0035303C">
        <w:rPr>
          <w:rFonts w:hint="cs"/>
          <w:rtl/>
        </w:rPr>
        <w:t>מציג</w:t>
      </w:r>
      <w:r w:rsidR="007D5B29">
        <w:rPr>
          <w:rFonts w:hint="cs"/>
          <w:rtl/>
        </w:rPr>
        <w:t xml:space="preserve"> </w:t>
      </w:r>
      <w:r w:rsidR="00DC0E78">
        <w:rPr>
          <w:rFonts w:hint="cs"/>
          <w:rtl/>
        </w:rPr>
        <w:t>הגדרות</w:t>
      </w:r>
      <w:r w:rsidR="007D5B29">
        <w:rPr>
          <w:rFonts w:hint="cs"/>
          <w:rtl/>
        </w:rPr>
        <w:t xml:space="preserve"> שונות אודות הגוף הפוסט-הומני על מנת</w:t>
      </w:r>
      <w:r w:rsidR="00DC0E78">
        <w:rPr>
          <w:rFonts w:hint="cs"/>
          <w:rtl/>
        </w:rPr>
        <w:t xml:space="preserve"> לחדד את ההבחנה בין שתי התופעות.</w:t>
      </w:r>
      <w:r w:rsidR="00524561">
        <w:rPr>
          <w:rFonts w:hint="cs"/>
          <w:rtl/>
        </w:rPr>
        <w:t xml:space="preserve"> </w:t>
      </w:r>
    </w:p>
    <w:p w:rsidR="00E5589E" w:rsidRDefault="00E43A85" w:rsidP="00AF70AD">
      <w:pPr>
        <w:spacing w:line="480" w:lineRule="auto"/>
        <w:ind w:firstLine="720"/>
        <w:rPr>
          <w:rtl/>
        </w:rPr>
      </w:pPr>
      <w:r>
        <w:rPr>
          <w:rFonts w:hint="cs"/>
          <w:rtl/>
        </w:rPr>
        <w:t xml:space="preserve">מבחינת ההקשר ההיסטורי, חשוב לציין כי </w:t>
      </w:r>
      <w:r w:rsidR="00E5589E">
        <w:rPr>
          <w:rFonts w:hint="cs"/>
          <w:rtl/>
        </w:rPr>
        <w:t xml:space="preserve">תהליך הנטישה של הגוף הספרותי </w:t>
      </w:r>
      <w:r w:rsidR="00AF70AD">
        <w:rPr>
          <w:rFonts w:hint="cs"/>
          <w:rtl/>
        </w:rPr>
        <w:t>וחיפוש אחר</w:t>
      </w:r>
      <w:r w:rsidR="00E5589E">
        <w:rPr>
          <w:rFonts w:hint="cs"/>
          <w:rtl/>
        </w:rPr>
        <w:t xml:space="preserve"> אלטרנטיבה לגשמיות </w:t>
      </w:r>
      <w:r>
        <w:rPr>
          <w:rFonts w:hint="cs"/>
          <w:rtl/>
        </w:rPr>
        <w:t>אינו חדש והוא בא לידי ביטוי ברומנים ניסיוניי</w:t>
      </w:r>
      <w:r>
        <w:rPr>
          <w:rFonts w:hint="eastAsia"/>
          <w:rtl/>
        </w:rPr>
        <w:t>ם</w:t>
      </w:r>
      <w:r>
        <w:rPr>
          <w:rFonts w:hint="cs"/>
          <w:rtl/>
        </w:rPr>
        <w:t xml:space="preserve"> של הספרות המודרניסטית כגון "אל המגדלור"</w:t>
      </w:r>
      <w:r w:rsidR="00AF70AD">
        <w:rPr>
          <w:rFonts w:hint="cs"/>
          <w:rtl/>
        </w:rPr>
        <w:t xml:space="preserve"> (1927)</w:t>
      </w:r>
      <w:r>
        <w:rPr>
          <w:rFonts w:hint="cs"/>
          <w:rtl/>
        </w:rPr>
        <w:t xml:space="preserve"> </w:t>
      </w:r>
      <w:r w:rsidR="00AF70AD">
        <w:rPr>
          <w:rFonts w:hint="cs"/>
          <w:rtl/>
        </w:rPr>
        <w:t>מאת</w:t>
      </w:r>
      <w:r>
        <w:rPr>
          <w:rFonts w:hint="cs"/>
          <w:rtl/>
        </w:rPr>
        <w:t xml:space="preserve"> וירג'יניה וולף</w:t>
      </w:r>
      <w:r w:rsidR="00AF70AD">
        <w:rPr>
          <w:rFonts w:hint="cs"/>
          <w:rtl/>
        </w:rPr>
        <w:t>, אשר יוצר הפרדה בין הגשמיות של הדמויות לבין התודעה שלהן באמצעות השימוש המובחן בסוגריים עגולות ומרובעות. במובן זה, "אל המגדלור" מהווה דוגמא מובהקת לחיפוש אחר אלטרנטיבה לגשמיות, אשר מוצאת את תשובתה בספרות עכשווית במסגרת של הגוף המטפורי.</w:t>
      </w:r>
    </w:p>
    <w:p w:rsidR="00862500" w:rsidRDefault="00862500" w:rsidP="0063417B">
      <w:pPr>
        <w:spacing w:line="480" w:lineRule="auto"/>
        <w:ind w:firstLine="720"/>
        <w:rPr>
          <w:rtl/>
        </w:rPr>
      </w:pPr>
      <w:r>
        <w:rPr>
          <w:rFonts w:hint="cs"/>
          <w:rtl/>
        </w:rPr>
        <w:lastRenderedPageBreak/>
        <w:t xml:space="preserve">הספרות העכשוויות </w:t>
      </w:r>
      <w:r w:rsidR="00CB59FD">
        <w:rPr>
          <w:rFonts w:hint="cs"/>
          <w:rtl/>
        </w:rPr>
        <w:t>הנחקרת בתזה זאת כוללת רומ</w:t>
      </w:r>
      <w:r w:rsidR="00E12217">
        <w:rPr>
          <w:rFonts w:hint="cs"/>
          <w:rtl/>
        </w:rPr>
        <w:t>נים</w:t>
      </w:r>
      <w:r w:rsidR="00173953">
        <w:rPr>
          <w:rFonts w:hint="cs"/>
          <w:rtl/>
        </w:rPr>
        <w:t xml:space="preserve"> </w:t>
      </w:r>
      <w:r w:rsidR="00E12217">
        <w:rPr>
          <w:rFonts w:hint="cs"/>
          <w:rtl/>
        </w:rPr>
        <w:t>ידועים</w:t>
      </w:r>
      <w:r w:rsidR="00173953">
        <w:rPr>
          <w:rFonts w:hint="cs"/>
          <w:rtl/>
        </w:rPr>
        <w:t xml:space="preserve"> כגון </w:t>
      </w:r>
      <w:r w:rsidR="00881CC8">
        <w:rPr>
          <w:rFonts w:hint="cs"/>
          <w:rtl/>
        </w:rPr>
        <w:t>"תיק הראיות"</w:t>
      </w:r>
      <w:r w:rsidR="00881CC8">
        <w:t xml:space="preserve"> </w:t>
      </w:r>
      <w:r w:rsidR="00881CC8">
        <w:rPr>
          <w:rFonts w:hint="cs"/>
          <w:rtl/>
        </w:rPr>
        <w:t xml:space="preserve">(1998) מאת ג'ון באנוויל, אשר היה מועמד ברשימה המקוצר לפרס </w:t>
      </w:r>
      <w:r w:rsidR="0063417B">
        <w:rPr>
          <w:rFonts w:hint="cs"/>
          <w:rtl/>
        </w:rPr>
        <w:t>ה</w:t>
      </w:r>
      <w:r w:rsidR="00881CC8">
        <w:rPr>
          <w:rFonts w:hint="cs"/>
          <w:rtl/>
        </w:rPr>
        <w:t xml:space="preserve">בוקר, </w:t>
      </w:r>
      <w:r w:rsidR="00F22B5C">
        <w:rPr>
          <w:rFonts w:hint="cs"/>
          <w:rtl/>
        </w:rPr>
        <w:t xml:space="preserve">"הדרך" מאת </w:t>
      </w:r>
      <w:r w:rsidR="00E12217" w:rsidRPr="00E12217">
        <w:rPr>
          <w:rtl/>
        </w:rPr>
        <w:t>קורמאק מקארתי</w:t>
      </w:r>
      <w:r w:rsidR="00E12217">
        <w:t xml:space="preserve"> </w:t>
      </w:r>
      <w:r w:rsidR="00E12217">
        <w:rPr>
          <w:rFonts w:hint="cs"/>
          <w:rtl/>
        </w:rPr>
        <w:t>(2006)</w:t>
      </w:r>
      <w:r w:rsidR="00F22B5C">
        <w:rPr>
          <w:rFonts w:hint="cs"/>
          <w:rtl/>
        </w:rPr>
        <w:t xml:space="preserve">, </w:t>
      </w:r>
      <w:r w:rsidR="00E12217">
        <w:rPr>
          <w:rFonts w:hint="cs"/>
          <w:rtl/>
        </w:rPr>
        <w:t xml:space="preserve">אשר זכה בפרס הפוליצר, </w:t>
      </w:r>
      <w:r w:rsidR="00CB5A08">
        <w:rPr>
          <w:rFonts w:hint="cs"/>
          <w:rtl/>
        </w:rPr>
        <w:t>"איש נופל" (2007) מאת דון דלילו ו</w:t>
      </w:r>
      <w:r w:rsidR="00CB59FD">
        <w:rPr>
          <w:rFonts w:hint="cs"/>
          <w:rtl/>
        </w:rPr>
        <w:t>הרומ</w:t>
      </w:r>
      <w:r w:rsidR="00E12217">
        <w:rPr>
          <w:rFonts w:hint="cs"/>
          <w:rtl/>
        </w:rPr>
        <w:t>ן האחרון והמדובר של פיליפ רות "נמסיס" (2010)</w:t>
      </w:r>
      <w:r w:rsidR="006B6504">
        <w:rPr>
          <w:rFonts w:hint="cs"/>
          <w:rtl/>
        </w:rPr>
        <w:t>.</w:t>
      </w:r>
      <w:r w:rsidR="00CB59FD">
        <w:rPr>
          <w:rFonts w:hint="cs"/>
          <w:rtl/>
        </w:rPr>
        <w:t xml:space="preserve"> שני רומ</w:t>
      </w:r>
      <w:r w:rsidR="00F2584F">
        <w:rPr>
          <w:rFonts w:hint="cs"/>
          <w:rtl/>
        </w:rPr>
        <w:t>נים נוספים בסוגת הז'אנר הספקולטיבי אשר נכללו בתזה זאת הם "אלפבי</w:t>
      </w:r>
      <w:r w:rsidR="00F2584F">
        <w:rPr>
          <w:rFonts w:hint="eastAsia"/>
          <w:rtl/>
        </w:rPr>
        <w:t>ת</w:t>
      </w:r>
      <w:r w:rsidR="00F2584F">
        <w:rPr>
          <w:rFonts w:hint="cs"/>
          <w:rtl/>
        </w:rPr>
        <w:t xml:space="preserve"> הלהבה" (2012) מאת בן מרכוס ו"עיר השגרירים" (2011) מאת צ'ינה מיאלוויל. המנעד</w:t>
      </w:r>
      <w:r w:rsidR="00DD5A5C">
        <w:rPr>
          <w:rFonts w:hint="cs"/>
          <w:rtl/>
        </w:rPr>
        <w:t xml:space="preserve"> </w:t>
      </w:r>
      <w:r w:rsidR="00F2584F">
        <w:rPr>
          <w:rFonts w:hint="cs"/>
          <w:rtl/>
        </w:rPr>
        <w:t>הרחב של</w:t>
      </w:r>
      <w:r w:rsidR="006B6504">
        <w:rPr>
          <w:rFonts w:hint="cs"/>
          <w:rtl/>
        </w:rPr>
        <w:t xml:space="preserve"> </w:t>
      </w:r>
      <w:r w:rsidR="00F2584F">
        <w:rPr>
          <w:rFonts w:hint="cs"/>
          <w:rtl/>
        </w:rPr>
        <w:t xml:space="preserve">הספרים בתזה זאת </w:t>
      </w:r>
      <w:r w:rsidR="0063417B">
        <w:rPr>
          <w:rFonts w:hint="cs"/>
          <w:rtl/>
        </w:rPr>
        <w:t>מאפשר לחקור</w:t>
      </w:r>
      <w:r w:rsidR="006B6504">
        <w:rPr>
          <w:rFonts w:hint="cs"/>
          <w:rtl/>
        </w:rPr>
        <w:t xml:space="preserve"> את תופעת הייצוג של הגוף המטפורי ב</w:t>
      </w:r>
      <w:r w:rsidR="00F2584F">
        <w:rPr>
          <w:rFonts w:hint="cs"/>
          <w:rtl/>
        </w:rPr>
        <w:t>סגנונות כתיבה ו</w:t>
      </w:r>
      <w:r w:rsidR="006B6504">
        <w:rPr>
          <w:rFonts w:hint="cs"/>
          <w:rtl/>
        </w:rPr>
        <w:t xml:space="preserve">ז'אנרים שונים. </w:t>
      </w:r>
    </w:p>
    <w:p w:rsidR="00CB5A08" w:rsidRDefault="00CB5A08" w:rsidP="00843B1B">
      <w:pPr>
        <w:spacing w:line="480" w:lineRule="auto"/>
        <w:ind w:firstLine="720"/>
        <w:rPr>
          <w:rtl/>
        </w:rPr>
      </w:pPr>
      <w:r>
        <w:rPr>
          <w:rFonts w:hint="cs"/>
          <w:rtl/>
        </w:rPr>
        <w:t>הגוף המטפורי ברומן "תיק הראיות"</w:t>
      </w:r>
      <w:r w:rsidR="00685F34">
        <w:rPr>
          <w:rFonts w:hint="cs"/>
          <w:rtl/>
        </w:rPr>
        <w:t xml:space="preserve"> הינו דמות של אישה ב</w:t>
      </w:r>
      <w:r w:rsidR="00843B1B">
        <w:rPr>
          <w:rFonts w:hint="cs"/>
          <w:rtl/>
        </w:rPr>
        <w:t>יצירת אומנות אותה</w:t>
      </w:r>
      <w:r w:rsidR="00685F34">
        <w:rPr>
          <w:rFonts w:hint="cs"/>
          <w:rtl/>
        </w:rPr>
        <w:t xml:space="preserve"> המספר גונב. במהלך אקט הגניבה, המספר הורג אישה אמיתית אשר עומדת בדרכו</w:t>
      </w:r>
      <w:r w:rsidR="00C511AE">
        <w:rPr>
          <w:rFonts w:hint="cs"/>
          <w:rtl/>
        </w:rPr>
        <w:t xml:space="preserve"> ללא היסוס</w:t>
      </w:r>
      <w:r w:rsidR="00685F34">
        <w:rPr>
          <w:rFonts w:hint="cs"/>
          <w:rtl/>
        </w:rPr>
        <w:t xml:space="preserve">. מתוך תא הכלא בו הוא מוחזק באשמת רצח, המספר מגולל את סיפור </w:t>
      </w:r>
      <w:r w:rsidR="00BC16BC">
        <w:rPr>
          <w:rFonts w:hint="cs"/>
          <w:rtl/>
        </w:rPr>
        <w:t xml:space="preserve">חייו עד לרגע המפגש הגורלי שלו עם הציור המדובר, </w:t>
      </w:r>
      <w:r w:rsidR="00AD6251">
        <w:rPr>
          <w:rFonts w:hint="cs"/>
          <w:rtl/>
        </w:rPr>
        <w:t xml:space="preserve">את השתלשלות </w:t>
      </w:r>
      <w:r w:rsidR="00685F34">
        <w:rPr>
          <w:rFonts w:hint="cs"/>
          <w:rtl/>
        </w:rPr>
        <w:t>האובססיה שלו עם הדמות של האישה בציור וכן את ההתדרדרות החיבור הרגשי שלו עם גופו אשר הובילו אותו למצבו הנוכחי.</w:t>
      </w:r>
    </w:p>
    <w:p w:rsidR="00CD78E3" w:rsidRDefault="00CD78E3" w:rsidP="00CD78E3">
      <w:pPr>
        <w:spacing w:line="480" w:lineRule="auto"/>
        <w:ind w:firstLine="720"/>
        <w:rPr>
          <w:rtl/>
        </w:rPr>
      </w:pPr>
      <w:r>
        <w:rPr>
          <w:rFonts w:hint="cs"/>
          <w:rtl/>
        </w:rPr>
        <w:t xml:space="preserve">הגוף המטפורי ברומן "איש נופל" הינו המכשול החושי של השמיעה אשר מציף את שלושת הדמויות המרכזיות ברומן </w:t>
      </w:r>
      <w:r>
        <w:rPr>
          <w:rtl/>
        </w:rPr>
        <w:t>–</w:t>
      </w:r>
      <w:r>
        <w:rPr>
          <w:rFonts w:hint="cs"/>
          <w:rtl/>
        </w:rPr>
        <w:t xml:space="preserve"> קית', איש כספים ואחד משורדי אסון התאומים, אשתו ליאן ובנם ג'סטין. למרות שהצלילים ברומן כגון המוזיקה האתנית של השכנים אשר הופכת לאובססיה עבור ליאן ודיווחי החדשות אודות 'בן לאדן' אשר ג'סטין הופך ל'ביל לוטן' בהחלט רודפים את משפחתו של קית', הם אינם הופכים לגוף מטפורי של קקופוני</w:t>
      </w:r>
      <w:r>
        <w:rPr>
          <w:rFonts w:hint="eastAsia"/>
          <w:rtl/>
        </w:rPr>
        <w:t>ה</w:t>
      </w:r>
      <w:r>
        <w:rPr>
          <w:rFonts w:hint="cs"/>
          <w:rtl/>
        </w:rPr>
        <w:t>. רק במקרה של קית', הרעשים השונים והמבנה החזרתי שלהם כגון הצלילים השבים וצפים מקריסת מגדלי התאומים ומנגד התמכרותו לרעשי הקזינו הופכים לגוף המטפורי של קית' כי הם מתרחשים לצד תהליך הנטישה הרגשית של קית' את גופו הפיסי.</w:t>
      </w:r>
    </w:p>
    <w:p w:rsidR="003F0C84" w:rsidRDefault="003F0C84" w:rsidP="00135A78">
      <w:pPr>
        <w:spacing w:line="480" w:lineRule="auto"/>
        <w:ind w:firstLine="720"/>
        <w:rPr>
          <w:rtl/>
        </w:rPr>
      </w:pPr>
      <w:r>
        <w:rPr>
          <w:rFonts w:hint="cs"/>
          <w:rtl/>
        </w:rPr>
        <w:t>הגוף המטפורי ב</w:t>
      </w:r>
      <w:r w:rsidR="00C80515">
        <w:rPr>
          <w:rFonts w:hint="cs"/>
          <w:rtl/>
        </w:rPr>
        <w:t xml:space="preserve">רומן "הדרך" הינו התגלמות החשכה. </w:t>
      </w:r>
      <w:r>
        <w:rPr>
          <w:rFonts w:hint="cs"/>
          <w:rtl/>
        </w:rPr>
        <w:t>ההזדהות הרגשית של דמות האב עם החשכה נוצרת כתוצאה מתהליך אינטנסיבי של האנשה לאורך העלילה</w:t>
      </w:r>
      <w:r w:rsidR="00A85351">
        <w:rPr>
          <w:rFonts w:hint="cs"/>
          <w:rtl/>
        </w:rPr>
        <w:t xml:space="preserve"> </w:t>
      </w:r>
      <w:r>
        <w:rPr>
          <w:rFonts w:hint="cs"/>
          <w:rtl/>
        </w:rPr>
        <w:t>בעודו מנסה לשרוד ולהגן על בנו באמריקה הפוסט-אפוקליפטית</w:t>
      </w:r>
      <w:r w:rsidR="00A85351">
        <w:rPr>
          <w:rFonts w:hint="cs"/>
          <w:rtl/>
        </w:rPr>
        <w:t xml:space="preserve"> ובמקביל מתקיים תהליך הניתוק הרגשי של האב מגופו הפיסי אשר מסתיים במותו</w:t>
      </w:r>
      <w:r>
        <w:rPr>
          <w:rFonts w:hint="cs"/>
          <w:rtl/>
        </w:rPr>
        <w:t xml:space="preserve">. </w:t>
      </w:r>
      <w:r w:rsidR="00135A78">
        <w:rPr>
          <w:rFonts w:hint="cs"/>
          <w:rtl/>
        </w:rPr>
        <w:t>במהלך</w:t>
      </w:r>
      <w:r>
        <w:rPr>
          <w:rFonts w:hint="cs"/>
          <w:rtl/>
        </w:rPr>
        <w:t xml:space="preserve"> החיפוש המתמיד אחר מחסה ואוכל, </w:t>
      </w:r>
      <w:r w:rsidR="00135A78">
        <w:rPr>
          <w:rFonts w:hint="cs"/>
          <w:rtl/>
        </w:rPr>
        <w:t>ה</w:t>
      </w:r>
      <w:r>
        <w:rPr>
          <w:rFonts w:hint="cs"/>
          <w:rtl/>
        </w:rPr>
        <w:t>התמודדות הבלתי פוסקת עם מזג האוויר הקר, ההיתקלו</w:t>
      </w:r>
      <w:r>
        <w:rPr>
          <w:rFonts w:hint="eastAsia"/>
          <w:rtl/>
        </w:rPr>
        <w:t>ת</w:t>
      </w:r>
      <w:r>
        <w:rPr>
          <w:rFonts w:hint="cs"/>
          <w:rtl/>
        </w:rPr>
        <w:t xml:space="preserve"> בשרידים של קניבליזם וההתקדמות לדרום בתקווה למציאת קהילה תומכת, הוודאות היחידה עבור האב היא החשיכה אשר מסמלת את אכזריות הטבע ושקיעת האימפריה האמריקאית. </w:t>
      </w:r>
    </w:p>
    <w:p w:rsidR="00CB5A08" w:rsidRDefault="00CB5A08" w:rsidP="00FB6A81">
      <w:pPr>
        <w:spacing w:line="480" w:lineRule="auto"/>
        <w:ind w:firstLine="720"/>
        <w:rPr>
          <w:rtl/>
        </w:rPr>
      </w:pPr>
      <w:r>
        <w:rPr>
          <w:rFonts w:hint="cs"/>
          <w:rtl/>
        </w:rPr>
        <w:lastRenderedPageBreak/>
        <w:t>הגוף המטפורי ברומן "נמסיס"</w:t>
      </w:r>
      <w:r w:rsidR="0029763A">
        <w:rPr>
          <w:rFonts w:hint="cs"/>
          <w:rtl/>
        </w:rPr>
        <w:t xml:space="preserve"> הינו</w:t>
      </w:r>
      <w:r w:rsidR="00FB6A81">
        <w:rPr>
          <w:rFonts w:hint="cs"/>
          <w:rtl/>
        </w:rPr>
        <w:t xml:space="preserve"> וירוס הפוליו אשר חודר לגופו של באקי, הדמות הראשית של הספר, ואף הופך את באקי לזרז של הדבקת ילדים יהודיים בחסותו במחלה חשוכת המרפא. הרומן מסופר מנקודת מבטו של ארנולד, אחד מהילדים במגרש המשחקים באותה שכונה יהודית של ניו ג'רזי בשנות הארבעים, אשר אף הוא לקה בפוליו אך שרד והוא משחזר את ימי תהילתו של באקי כמאמן גופני צעיר ונערץ ומנגד את מצבו כאדם מבוגר בעל נכות גופנית קשה וחוסר יכולת לסלוח לעצמו על כך שהדביק שלא ביודעין ילדים רבים בפוליו. בבגרותו, הגוף המטפורי של וירוס הפוליו הופך לעוגן של הזדהות רגשית ושנאה עצמית עבור באקי</w:t>
      </w:r>
      <w:r w:rsidR="00F2678E">
        <w:rPr>
          <w:rFonts w:hint="cs"/>
          <w:rtl/>
        </w:rPr>
        <w:t>, אשר אינו מזדהה עם גופו שהתעוות כתוצאה מהמחלה</w:t>
      </w:r>
      <w:r w:rsidR="00FB6A81">
        <w:rPr>
          <w:rFonts w:hint="cs"/>
          <w:rtl/>
        </w:rPr>
        <w:t xml:space="preserve">. </w:t>
      </w:r>
    </w:p>
    <w:p w:rsidR="00CB5A08" w:rsidRDefault="00CB5A08" w:rsidP="00DD548B">
      <w:pPr>
        <w:spacing w:line="480" w:lineRule="auto"/>
        <w:ind w:firstLine="720"/>
        <w:rPr>
          <w:rtl/>
        </w:rPr>
      </w:pPr>
      <w:r>
        <w:rPr>
          <w:rFonts w:hint="cs"/>
          <w:rtl/>
        </w:rPr>
        <w:t>הגוף המטפורי ברומן "אלפבי</w:t>
      </w:r>
      <w:r>
        <w:rPr>
          <w:rFonts w:hint="eastAsia"/>
          <w:rtl/>
        </w:rPr>
        <w:t>ת</w:t>
      </w:r>
      <w:r>
        <w:rPr>
          <w:rFonts w:hint="cs"/>
          <w:rtl/>
        </w:rPr>
        <w:t xml:space="preserve"> הלהבה"</w:t>
      </w:r>
      <w:r w:rsidR="0029763A">
        <w:rPr>
          <w:rFonts w:hint="cs"/>
          <w:rtl/>
        </w:rPr>
        <w:t xml:space="preserve"> הינו האלפבי</w:t>
      </w:r>
      <w:r w:rsidR="0029763A">
        <w:rPr>
          <w:rFonts w:hint="eastAsia"/>
          <w:rtl/>
        </w:rPr>
        <w:t>ת</w:t>
      </w:r>
      <w:r w:rsidR="0029763A">
        <w:rPr>
          <w:rFonts w:hint="cs"/>
          <w:rtl/>
        </w:rPr>
        <w:t xml:space="preserve"> העברי אשר מסתמן כתרופה אפשרית למגפת המילים המתארת מצב בו כל ביטוייה של השפה האנגלית הופכים לפתע לרעילים עבור סם, המספר, אשתו קלייר ובהדרגה גם רוב ארצות הברית. הילדים </w:t>
      </w:r>
      <w:r w:rsidR="00AC1006">
        <w:rPr>
          <w:rFonts w:hint="cs"/>
          <w:rtl/>
        </w:rPr>
        <w:t xml:space="preserve">המשתלבים בעלילה </w:t>
      </w:r>
      <w:r w:rsidR="0029763A">
        <w:rPr>
          <w:rFonts w:hint="cs"/>
          <w:rtl/>
        </w:rPr>
        <w:t xml:space="preserve">ובניהם גם אסתר, בתם של סם וקלייר, הם בעלי חסינות טבעית למגפת המילים. </w:t>
      </w:r>
      <w:r w:rsidR="00976A7F">
        <w:rPr>
          <w:rFonts w:hint="cs"/>
          <w:rtl/>
        </w:rPr>
        <w:t>סם זונח את ההזדהות הרגשית שלו עם גופו הלוקה בתסמיני הרעלה כתוצאה מהחשיפה למילים ובחיפושו הנואש אחר תרופה למגפה הוא בונה מודלים של האלפבית העברי אשר מהווים תחליף לגשמיות שלו</w:t>
      </w:r>
      <w:r w:rsidR="00DD548B">
        <w:rPr>
          <w:rFonts w:hint="cs"/>
          <w:rtl/>
        </w:rPr>
        <w:t>.</w:t>
      </w:r>
      <w:r w:rsidR="00976A7F">
        <w:rPr>
          <w:rFonts w:hint="cs"/>
          <w:rtl/>
        </w:rPr>
        <w:t xml:space="preserve"> </w:t>
      </w:r>
      <w:r w:rsidR="0029763A">
        <w:rPr>
          <w:rFonts w:hint="cs"/>
          <w:rtl/>
        </w:rPr>
        <w:t xml:space="preserve">    </w:t>
      </w:r>
    </w:p>
    <w:p w:rsidR="00CB5A08" w:rsidRDefault="00CB5A08" w:rsidP="00A77185">
      <w:pPr>
        <w:spacing w:line="480" w:lineRule="auto"/>
        <w:ind w:firstLine="720"/>
        <w:rPr>
          <w:rtl/>
        </w:rPr>
      </w:pPr>
      <w:r>
        <w:rPr>
          <w:rFonts w:hint="cs"/>
          <w:rtl/>
        </w:rPr>
        <w:t>הגוף המטפורי ברומן "עיר השגרירים"</w:t>
      </w:r>
      <w:r w:rsidR="00DD548B">
        <w:rPr>
          <w:rFonts w:hint="cs"/>
          <w:rtl/>
        </w:rPr>
        <w:t xml:space="preserve"> הינו השפה הגשמית של המארחים, גזע של חייזרים אשר מתקשר דרך שפה דו-צלילית שאיננה מכילה שקרים, מחשבות או מטפורות</w:t>
      </w:r>
      <w:r w:rsidR="00A77185">
        <w:rPr>
          <w:rFonts w:hint="cs"/>
          <w:rtl/>
        </w:rPr>
        <w:t xml:space="preserve"> והיא למעשה חלק בלתי נפרד מהגוף הפיסי שלהם</w:t>
      </w:r>
      <w:r w:rsidR="00DD548B">
        <w:rPr>
          <w:rFonts w:hint="cs"/>
          <w:rtl/>
        </w:rPr>
        <w:t>. השפה של המארחים מתווכת על ידי דימויים גשמיים של פעולות בני אדם ובניהם גם המספרת, אביס</w:t>
      </w:r>
      <w:r w:rsidR="009378DA">
        <w:rPr>
          <w:rFonts w:hint="cs"/>
          <w:rtl/>
        </w:rPr>
        <w:t>,</w:t>
      </w:r>
      <w:r w:rsidR="00011CDB">
        <w:rPr>
          <w:rFonts w:hint="cs"/>
          <w:rtl/>
        </w:rPr>
        <w:t xml:space="preserve"> והתקשורת בין שני הגזעים מתנהלת </w:t>
      </w:r>
      <w:r w:rsidR="00A77185">
        <w:rPr>
          <w:rFonts w:hint="cs"/>
          <w:rtl/>
        </w:rPr>
        <w:t>בעזרת זוגות של שגרירים בני אנוש</w:t>
      </w:r>
      <w:r w:rsidR="00DD548B">
        <w:rPr>
          <w:rFonts w:hint="cs"/>
          <w:rtl/>
        </w:rPr>
        <w:t>.</w:t>
      </w:r>
      <w:r w:rsidR="00011CDB">
        <w:rPr>
          <w:rFonts w:hint="cs"/>
          <w:rtl/>
        </w:rPr>
        <w:t xml:space="preserve"> </w:t>
      </w:r>
      <w:r w:rsidR="00A77185">
        <w:rPr>
          <w:rFonts w:hint="cs"/>
          <w:rtl/>
        </w:rPr>
        <w:t xml:space="preserve">הגוף המטפורי של </w:t>
      </w:r>
      <w:r w:rsidR="00011CDB">
        <w:rPr>
          <w:rFonts w:hint="cs"/>
          <w:rtl/>
        </w:rPr>
        <w:t xml:space="preserve">המארחים </w:t>
      </w:r>
      <w:r w:rsidR="00A77185">
        <w:rPr>
          <w:rFonts w:hint="cs"/>
          <w:rtl/>
        </w:rPr>
        <w:t xml:space="preserve">קורס לאחר שהתמכרותם לצלילים של זוג שגרירים מסוים גורמת להם לנטוש את השפה הגשמית שלהם ולאמץ </w:t>
      </w:r>
      <w:r w:rsidR="009378DA">
        <w:rPr>
          <w:rFonts w:hint="cs"/>
          <w:rtl/>
        </w:rPr>
        <w:t xml:space="preserve">שפה </w:t>
      </w:r>
      <w:r w:rsidR="00A77185">
        <w:rPr>
          <w:rFonts w:hint="cs"/>
          <w:rtl/>
        </w:rPr>
        <w:t>בעלת מאפיינים אנושים.</w:t>
      </w:r>
    </w:p>
    <w:p w:rsidR="00A02906" w:rsidRDefault="001721B1" w:rsidP="00A02906">
      <w:pPr>
        <w:spacing w:line="480" w:lineRule="auto"/>
        <w:ind w:firstLine="720"/>
        <w:rPr>
          <w:rtl/>
        </w:rPr>
      </w:pPr>
      <w:r>
        <w:rPr>
          <w:rFonts w:hint="cs"/>
          <w:rtl/>
        </w:rPr>
        <w:t>כל הרומנים בתזה מעלים לפני השטח את משבר השפה המילולית, אשר מתבטא בהיווצרותו של הגוף המטפורי בד בבד עם התמוטטות הגוף הספרותי של הדמות הראשית ו/או המספר.</w:t>
      </w:r>
      <w:r w:rsidR="007B3970">
        <w:rPr>
          <w:rFonts w:hint="cs"/>
          <w:rtl/>
        </w:rPr>
        <w:t xml:space="preserve"> </w:t>
      </w:r>
      <w:r w:rsidR="003D7359">
        <w:rPr>
          <w:rFonts w:hint="cs"/>
          <w:rtl/>
        </w:rPr>
        <w:t xml:space="preserve">משבר מילולי זה מתכתב עם תיאוריית הגוף </w:t>
      </w:r>
      <w:r w:rsidR="00C246E2">
        <w:rPr>
          <w:rFonts w:hint="cs"/>
          <w:rtl/>
        </w:rPr>
        <w:t xml:space="preserve">הנתון </w:t>
      </w:r>
      <w:r w:rsidR="003D7359">
        <w:rPr>
          <w:rFonts w:hint="cs"/>
          <w:rtl/>
        </w:rPr>
        <w:t xml:space="preserve">בכאב של איליין סקארי בהקשר לגוף הספרותי אשר עובר תהליכי כאב </w:t>
      </w:r>
      <w:r w:rsidR="00A02906">
        <w:rPr>
          <w:rFonts w:hint="cs"/>
          <w:rtl/>
        </w:rPr>
        <w:t xml:space="preserve">פיסי </w:t>
      </w:r>
      <w:r w:rsidR="003D7359">
        <w:rPr>
          <w:rFonts w:hint="cs"/>
          <w:rtl/>
        </w:rPr>
        <w:t>וחוסר נוחות.</w:t>
      </w:r>
      <w:r w:rsidR="00D27BA0">
        <w:rPr>
          <w:rFonts w:hint="cs"/>
          <w:rtl/>
        </w:rPr>
        <w:t xml:space="preserve"> המשבר המילולי מתבטא ברמה הפיגורטיבית דרך יצירתו של הגוף המטפורי </w:t>
      </w:r>
      <w:r w:rsidR="00A02906">
        <w:rPr>
          <w:rFonts w:hint="cs"/>
          <w:rtl/>
        </w:rPr>
        <w:t>בעוד שהגוף הספרותי עובר תהליך של התנגדות מילולית.</w:t>
      </w:r>
    </w:p>
    <w:p w:rsidR="003D7359" w:rsidRDefault="003D7359" w:rsidP="00890409">
      <w:pPr>
        <w:spacing w:line="480" w:lineRule="auto"/>
        <w:ind w:firstLine="720"/>
        <w:rPr>
          <w:rtl/>
        </w:rPr>
      </w:pPr>
      <w:r>
        <w:rPr>
          <w:rFonts w:hint="cs"/>
          <w:rtl/>
        </w:rPr>
        <w:lastRenderedPageBreak/>
        <w:t xml:space="preserve"> ברומן "תיק הראיות", </w:t>
      </w:r>
      <w:r w:rsidR="00DF1435">
        <w:rPr>
          <w:rFonts w:hint="cs"/>
          <w:rtl/>
        </w:rPr>
        <w:t>המספר חש כלוא בתוך גופו ותחושת הסגר זאת חזקה יותר מעצם המאסר שלו והגבלתו לתא כלא.</w:t>
      </w:r>
      <w:r>
        <w:rPr>
          <w:rFonts w:hint="cs"/>
          <w:rtl/>
        </w:rPr>
        <w:t xml:space="preserve"> </w:t>
      </w:r>
      <w:r w:rsidR="00CD78E3">
        <w:rPr>
          <w:rFonts w:hint="cs"/>
          <w:rtl/>
        </w:rPr>
        <w:t xml:space="preserve">ברומן "איש נופל", הדמות הראשית נאבקת בהשלכות הרגשיות והפיסיות של פוסט-טראומה כניצול של אסון התאומים. </w:t>
      </w:r>
      <w:r>
        <w:rPr>
          <w:rFonts w:hint="cs"/>
          <w:rtl/>
        </w:rPr>
        <w:t>ברומן "הדרך"</w:t>
      </w:r>
      <w:r w:rsidR="00DF1435">
        <w:rPr>
          <w:rFonts w:hint="cs"/>
          <w:rtl/>
        </w:rPr>
        <w:t>,</w:t>
      </w:r>
      <w:r>
        <w:rPr>
          <w:rFonts w:hint="cs"/>
          <w:rtl/>
        </w:rPr>
        <w:t xml:space="preserve"> </w:t>
      </w:r>
      <w:r w:rsidR="00683079">
        <w:rPr>
          <w:rFonts w:hint="cs"/>
          <w:rtl/>
        </w:rPr>
        <w:t xml:space="preserve">הדמות הראשית מנסה לשרוד במציאות פוסט-אפוקליפטית אשר מותירה את גופו מותש </w:t>
      </w:r>
      <w:r w:rsidR="00890409">
        <w:rPr>
          <w:rFonts w:hint="cs"/>
          <w:rtl/>
        </w:rPr>
        <w:t xml:space="preserve">כתוצאה </w:t>
      </w:r>
      <w:r w:rsidR="00683079">
        <w:rPr>
          <w:rFonts w:hint="cs"/>
          <w:rtl/>
        </w:rPr>
        <w:t xml:space="preserve">מרעב, </w:t>
      </w:r>
      <w:r w:rsidR="00DB5315">
        <w:rPr>
          <w:rFonts w:hint="cs"/>
          <w:rtl/>
        </w:rPr>
        <w:t xml:space="preserve">קור והשוטטות הבלתי פוסקת תוך חיפוש אחר מקלט. </w:t>
      </w:r>
      <w:r>
        <w:rPr>
          <w:rFonts w:hint="cs"/>
          <w:rtl/>
        </w:rPr>
        <w:t>ברומן "נמסיס"</w:t>
      </w:r>
      <w:r w:rsidR="00DF1435">
        <w:rPr>
          <w:rFonts w:hint="cs"/>
          <w:rtl/>
        </w:rPr>
        <w:t>,</w:t>
      </w:r>
      <w:r>
        <w:rPr>
          <w:rFonts w:hint="cs"/>
          <w:rtl/>
        </w:rPr>
        <w:t xml:space="preserve"> </w:t>
      </w:r>
      <w:r w:rsidR="00DB5315">
        <w:rPr>
          <w:rFonts w:hint="cs"/>
          <w:rtl/>
        </w:rPr>
        <w:t>וירוס הפוליו מחריב את גופו של הדמות הראשית והאפשרות שהיה זרז להדבקתם של ילדים תחת השגחתו מענה את נפשו.</w:t>
      </w:r>
      <w:r>
        <w:rPr>
          <w:rFonts w:hint="cs"/>
          <w:rtl/>
        </w:rPr>
        <w:t xml:space="preserve"> ברומן "אלפבי</w:t>
      </w:r>
      <w:r>
        <w:rPr>
          <w:rFonts w:hint="eastAsia"/>
          <w:rtl/>
        </w:rPr>
        <w:t>ת</w:t>
      </w:r>
      <w:r>
        <w:rPr>
          <w:rFonts w:hint="cs"/>
          <w:rtl/>
        </w:rPr>
        <w:t xml:space="preserve"> הלהבה"</w:t>
      </w:r>
      <w:r w:rsidR="00DF1435">
        <w:rPr>
          <w:rFonts w:hint="cs"/>
          <w:rtl/>
        </w:rPr>
        <w:t>,</w:t>
      </w:r>
      <w:r w:rsidR="00A626B2">
        <w:rPr>
          <w:rFonts w:hint="cs"/>
          <w:rtl/>
        </w:rPr>
        <w:t xml:space="preserve"> מגפת רעילות השפה מתבטאת בתופעות פיסיות</w:t>
      </w:r>
      <w:r w:rsidR="00890409">
        <w:rPr>
          <w:rFonts w:hint="cs"/>
          <w:rtl/>
        </w:rPr>
        <w:t xml:space="preserve"> קשות</w:t>
      </w:r>
      <w:r w:rsidR="00A626B2">
        <w:rPr>
          <w:rFonts w:hint="cs"/>
          <w:rtl/>
        </w:rPr>
        <w:t xml:space="preserve"> של סחרחורות, בחילות ותשישות.</w:t>
      </w:r>
      <w:r>
        <w:rPr>
          <w:rFonts w:hint="cs"/>
          <w:rtl/>
        </w:rPr>
        <w:t xml:space="preserve"> ברומן "עיר השגרירים"</w:t>
      </w:r>
      <w:r w:rsidR="00DF1435">
        <w:rPr>
          <w:rFonts w:hint="cs"/>
          <w:rtl/>
        </w:rPr>
        <w:t>,</w:t>
      </w:r>
      <w:r w:rsidR="0089217B">
        <w:rPr>
          <w:rFonts w:hint="cs"/>
          <w:rtl/>
        </w:rPr>
        <w:t xml:space="preserve"> ההתמכרות של המארחים לצלילי הקול של השגרירים מתבטאת בעינוי הפיסי שהם חווים בעוד גופם משתוקק </w:t>
      </w:r>
      <w:r w:rsidR="00D27BA0">
        <w:rPr>
          <w:rFonts w:hint="cs"/>
          <w:rtl/>
        </w:rPr>
        <w:t xml:space="preserve">לקבל 'מנה' נוספת של שמע. </w:t>
      </w:r>
    </w:p>
    <w:p w:rsidR="009378DA" w:rsidRDefault="00D27BA0" w:rsidP="00EF780B">
      <w:pPr>
        <w:spacing w:line="480" w:lineRule="auto"/>
        <w:ind w:firstLine="720"/>
        <w:rPr>
          <w:rtl/>
        </w:rPr>
      </w:pPr>
      <w:r>
        <w:rPr>
          <w:rFonts w:hint="cs"/>
          <w:rtl/>
        </w:rPr>
        <w:t xml:space="preserve">כמו כן, המשבר המילולי מעיד על </w:t>
      </w:r>
      <w:r w:rsidR="007B3970">
        <w:rPr>
          <w:rFonts w:hint="cs"/>
          <w:rtl/>
        </w:rPr>
        <w:t>חוסר היכולת של הטקסטים הללו להכיל את הגוף המטפורי בשלמותו</w:t>
      </w:r>
      <w:r>
        <w:rPr>
          <w:rFonts w:hint="cs"/>
          <w:rtl/>
        </w:rPr>
        <w:t xml:space="preserve"> ומעורבות הקורא במשבר זה</w:t>
      </w:r>
      <w:r w:rsidR="007B3970">
        <w:rPr>
          <w:rFonts w:hint="cs"/>
          <w:rtl/>
        </w:rPr>
        <w:t xml:space="preserve"> משרטט</w:t>
      </w:r>
      <w:r>
        <w:rPr>
          <w:rFonts w:hint="cs"/>
          <w:rtl/>
        </w:rPr>
        <w:t>ת</w:t>
      </w:r>
      <w:r w:rsidR="007B3970">
        <w:rPr>
          <w:rFonts w:hint="cs"/>
          <w:rtl/>
        </w:rPr>
        <w:t xml:space="preserve"> את גבולותיו של </w:t>
      </w:r>
      <w:r w:rsidR="00AC1006">
        <w:rPr>
          <w:rFonts w:hint="cs"/>
          <w:rtl/>
        </w:rPr>
        <w:t xml:space="preserve">הגוף המטפורי מחוץ למימד העלילה ולכן </w:t>
      </w:r>
      <w:r w:rsidR="007B3970">
        <w:rPr>
          <w:rFonts w:hint="cs"/>
          <w:rtl/>
        </w:rPr>
        <w:t>תיאור</w:t>
      </w:r>
      <w:r w:rsidR="00833119">
        <w:rPr>
          <w:rFonts w:hint="cs"/>
          <w:rtl/>
        </w:rPr>
        <w:t xml:space="preserve"> מיקומו של הגוף המטפורי נעזר</w:t>
      </w:r>
      <w:r w:rsidR="007B3970">
        <w:rPr>
          <w:rFonts w:hint="cs"/>
          <w:rtl/>
        </w:rPr>
        <w:t xml:space="preserve"> במושגים כגון </w:t>
      </w:r>
      <w:r w:rsidR="00833119">
        <w:rPr>
          <w:rFonts w:hint="cs"/>
          <w:rtl/>
        </w:rPr>
        <w:t>ה</w:t>
      </w:r>
      <w:r w:rsidR="007B3970">
        <w:rPr>
          <w:rFonts w:hint="cs"/>
          <w:rtl/>
        </w:rPr>
        <w:t xml:space="preserve">מרחב </w:t>
      </w:r>
      <w:r w:rsidR="00833119">
        <w:rPr>
          <w:rFonts w:hint="cs"/>
          <w:rtl/>
        </w:rPr>
        <w:t>ה</w:t>
      </w:r>
      <w:r w:rsidR="007B3970">
        <w:rPr>
          <w:rFonts w:hint="cs"/>
          <w:rtl/>
        </w:rPr>
        <w:t>בלתי אפשרי</w:t>
      </w:r>
      <w:r w:rsidR="00833119">
        <w:rPr>
          <w:rFonts w:hint="cs"/>
          <w:rtl/>
        </w:rPr>
        <w:t>,</w:t>
      </w:r>
      <w:r w:rsidR="007B3970">
        <w:rPr>
          <w:rFonts w:hint="cs"/>
          <w:rtl/>
        </w:rPr>
        <w:t xml:space="preserve"> אשר </w:t>
      </w:r>
      <w:r w:rsidR="00881D41">
        <w:rPr>
          <w:rFonts w:hint="cs"/>
          <w:rtl/>
        </w:rPr>
        <w:t>מתווה</w:t>
      </w:r>
      <w:r w:rsidR="007B3970">
        <w:rPr>
          <w:rFonts w:hint="cs"/>
          <w:rtl/>
        </w:rPr>
        <w:t xml:space="preserve"> את המפגש</w:t>
      </w:r>
      <w:r w:rsidR="002E2F7E">
        <w:rPr>
          <w:rFonts w:hint="cs"/>
          <w:rtl/>
        </w:rPr>
        <w:t xml:space="preserve"> התיאורטי</w:t>
      </w:r>
      <w:r w:rsidR="007B3970">
        <w:rPr>
          <w:rFonts w:hint="cs"/>
          <w:rtl/>
        </w:rPr>
        <w:t xml:space="preserve"> בין עינו של הקורא ועינו </w:t>
      </w:r>
      <w:r w:rsidR="00833119">
        <w:rPr>
          <w:rFonts w:hint="cs"/>
          <w:rtl/>
        </w:rPr>
        <w:t xml:space="preserve">של </w:t>
      </w:r>
      <w:r w:rsidR="00EF780B">
        <w:rPr>
          <w:rFonts w:hint="cs"/>
          <w:rtl/>
        </w:rPr>
        <w:t>הדמות הראשית ו/או המספר</w:t>
      </w:r>
      <w:r w:rsidR="00833119">
        <w:rPr>
          <w:rFonts w:hint="cs"/>
          <w:rtl/>
        </w:rPr>
        <w:t>.</w:t>
      </w:r>
      <w:r w:rsidR="006A3983">
        <w:rPr>
          <w:rFonts w:hint="cs"/>
          <w:rtl/>
        </w:rPr>
        <w:t xml:space="preserve"> הגוף המטפורי מהווה את העין של הטקסט בהקשר לתפקיד הסימבולי של העין כאובייקט הנתפש במרחב הוויזואל</w:t>
      </w:r>
      <w:r w:rsidR="006A3983">
        <w:rPr>
          <w:rFonts w:hint="eastAsia"/>
          <w:rtl/>
        </w:rPr>
        <w:t>י</w:t>
      </w:r>
      <w:r w:rsidR="006A3983">
        <w:rPr>
          <w:rFonts w:hint="cs"/>
          <w:rtl/>
        </w:rPr>
        <w:t xml:space="preserve"> הבלתי אפשרי של עינו של הקורא ועינו של </w:t>
      </w:r>
      <w:r w:rsidR="00EF780B">
        <w:rPr>
          <w:rFonts w:hint="cs"/>
          <w:rtl/>
        </w:rPr>
        <w:t>הדמות הראשית ו/או המספר</w:t>
      </w:r>
      <w:r w:rsidR="006A3983">
        <w:rPr>
          <w:rFonts w:hint="cs"/>
          <w:rtl/>
        </w:rPr>
        <w:t>.</w:t>
      </w:r>
    </w:p>
    <w:p w:rsidR="00C629F7" w:rsidRDefault="007C0B7B" w:rsidP="00EF780B">
      <w:pPr>
        <w:spacing w:line="480" w:lineRule="auto"/>
        <w:ind w:firstLine="720"/>
        <w:rPr>
          <w:rtl/>
        </w:rPr>
      </w:pPr>
      <w:r>
        <w:rPr>
          <w:rFonts w:hint="cs"/>
          <w:rtl/>
        </w:rPr>
        <w:t xml:space="preserve">למעשה, הגוף המטפורי בכל אחד מהרומנים בתזה נוצר כתוצאה מהדואליות של העין הן כאתר התענוג בהקשר לחוויית הקריאה והן כמיקום ההתנגדות למלל של </w:t>
      </w:r>
      <w:r w:rsidR="00EF780B">
        <w:rPr>
          <w:rFonts w:hint="cs"/>
          <w:rtl/>
        </w:rPr>
        <w:t>הדמות הראשית ו/או המספר</w:t>
      </w:r>
      <w:r>
        <w:rPr>
          <w:rFonts w:hint="cs"/>
          <w:rtl/>
        </w:rPr>
        <w:t xml:space="preserve">. ביחד הם יוצרים את המשבר המילולי אשר </w:t>
      </w:r>
      <w:r w:rsidR="00D35568">
        <w:rPr>
          <w:rFonts w:hint="cs"/>
          <w:rtl/>
        </w:rPr>
        <w:t>ממקם</w:t>
      </w:r>
      <w:r>
        <w:rPr>
          <w:rFonts w:hint="cs"/>
          <w:rtl/>
        </w:rPr>
        <w:t xml:space="preserve"> את הגוף המטפורי </w:t>
      </w:r>
      <w:r w:rsidR="00D35568">
        <w:rPr>
          <w:rFonts w:hint="cs"/>
          <w:rtl/>
        </w:rPr>
        <w:t>במרחב</w:t>
      </w:r>
      <w:r>
        <w:rPr>
          <w:rFonts w:hint="cs"/>
          <w:rtl/>
        </w:rPr>
        <w:t xml:space="preserve"> הבלתי אפשרי המאגד את המרחב הדיאגטי והמרחב החוץ-דיאגטי של הסיפור. בנוסף, חשוב להבהיר שבעוד שמימדי הזמן-מקום של הגוף המטפורי הם שונים מהכרונוטופ של </w:t>
      </w:r>
      <w:r w:rsidR="00286ABB">
        <w:rPr>
          <w:rFonts w:hint="cs"/>
          <w:rtl/>
        </w:rPr>
        <w:t>כל רומן</w:t>
      </w:r>
      <w:r w:rsidR="00B8716B">
        <w:rPr>
          <w:rFonts w:hint="cs"/>
          <w:rtl/>
        </w:rPr>
        <w:t xml:space="preserve"> מכיוון שהגוף המט</w:t>
      </w:r>
      <w:r>
        <w:rPr>
          <w:rFonts w:hint="cs"/>
          <w:rtl/>
        </w:rPr>
        <w:t xml:space="preserve">פורי אינו תופעה טקסטואלית מובהקת, חוסר-ההיתכנות של המרחב </w:t>
      </w:r>
      <w:r w:rsidR="00286ABB">
        <w:rPr>
          <w:rFonts w:hint="cs"/>
          <w:rtl/>
        </w:rPr>
        <w:t xml:space="preserve">בו הגוף המטפורי נוצר </w:t>
      </w:r>
      <w:r>
        <w:rPr>
          <w:rFonts w:hint="cs"/>
          <w:rtl/>
        </w:rPr>
        <w:t xml:space="preserve">והא-זמניות של </w:t>
      </w:r>
      <w:r w:rsidR="00286ABB">
        <w:rPr>
          <w:rFonts w:hint="cs"/>
          <w:rtl/>
        </w:rPr>
        <w:t>הגוף המטפורי מתאפשרים כתוצאה מהמבנה המעגלי והאופי הלא-לינארי של מימד הזמן ברומנים אלו.</w:t>
      </w:r>
    </w:p>
    <w:p w:rsidR="007C0B7B" w:rsidRDefault="008D3591" w:rsidP="006A3983">
      <w:pPr>
        <w:spacing w:line="480" w:lineRule="auto"/>
        <w:ind w:firstLine="720"/>
        <w:rPr>
          <w:rtl/>
        </w:rPr>
      </w:pPr>
      <w:r>
        <w:rPr>
          <w:rFonts w:hint="cs"/>
          <w:rtl/>
        </w:rPr>
        <w:t xml:space="preserve">ההמשגה של </w:t>
      </w:r>
      <w:r w:rsidR="000254D8">
        <w:rPr>
          <w:rFonts w:hint="cs"/>
          <w:rtl/>
        </w:rPr>
        <w:t>המטריאליות</w:t>
      </w:r>
      <w:r>
        <w:rPr>
          <w:rFonts w:hint="cs"/>
          <w:rtl/>
        </w:rPr>
        <w:t xml:space="preserve"> של הגוף המטפורי כ'שאריות'</w:t>
      </w:r>
      <w:r w:rsidR="00286ABB">
        <w:rPr>
          <w:rFonts w:hint="cs"/>
          <w:rtl/>
        </w:rPr>
        <w:t xml:space="preserve"> </w:t>
      </w:r>
      <w:r w:rsidR="00E7564F">
        <w:rPr>
          <w:rFonts w:hint="cs"/>
          <w:rtl/>
        </w:rPr>
        <w:t>חושיות והקשר המובהק שלו למושג הפוסט-נשגב של ליואטרד מאפשרים לשרטט את היווצרותו של הגוף המטפורי. לפיכך, הגוף המטפורי נוצר בחפיפה הבלתי אפשרית של המר</w:t>
      </w:r>
      <w:r w:rsidR="003F0988">
        <w:rPr>
          <w:rFonts w:hint="cs"/>
          <w:rtl/>
        </w:rPr>
        <w:t>חב הדיאגטי והמרחב החוץ-דיאגטי כ</w:t>
      </w:r>
      <w:r w:rsidR="00E7564F">
        <w:rPr>
          <w:rFonts w:hint="cs"/>
          <w:rtl/>
        </w:rPr>
        <w:t>נוכחות</w:t>
      </w:r>
      <w:r w:rsidR="003F0988">
        <w:rPr>
          <w:rFonts w:hint="cs"/>
          <w:rtl/>
        </w:rPr>
        <w:t xml:space="preserve"> מתקרבת,</w:t>
      </w:r>
      <w:r w:rsidR="00E7564F">
        <w:rPr>
          <w:rFonts w:hint="cs"/>
          <w:rtl/>
        </w:rPr>
        <w:t xml:space="preserve"> אשר איננה </w:t>
      </w:r>
      <w:r w:rsidR="00E7564F">
        <w:rPr>
          <w:rFonts w:hint="cs"/>
          <w:rtl/>
        </w:rPr>
        <w:lastRenderedPageBreak/>
        <w:t>נתפשת ברמה הקוגניטיבית או החושית אל</w:t>
      </w:r>
      <w:r w:rsidR="006A3983">
        <w:rPr>
          <w:rFonts w:hint="cs"/>
          <w:rtl/>
        </w:rPr>
        <w:t>א</w:t>
      </w:r>
      <w:r w:rsidR="009237CA">
        <w:rPr>
          <w:rFonts w:hint="cs"/>
          <w:rtl/>
        </w:rPr>
        <w:t xml:space="preserve"> מתקיימת</w:t>
      </w:r>
      <w:r w:rsidR="00E7564F">
        <w:rPr>
          <w:rFonts w:hint="cs"/>
          <w:rtl/>
        </w:rPr>
        <w:t xml:space="preserve"> </w:t>
      </w:r>
      <w:r w:rsidR="006A3983">
        <w:rPr>
          <w:rFonts w:hint="cs"/>
          <w:rtl/>
        </w:rPr>
        <w:t>בתור הכרה לא-מודעת של הקורא וטרנספורמציה לא-מודעת של הדמות הראשית ו/או המספר.</w:t>
      </w:r>
    </w:p>
    <w:p w:rsidR="006B6504" w:rsidRDefault="006B6504" w:rsidP="00684CC5">
      <w:pPr>
        <w:spacing w:line="480" w:lineRule="auto"/>
        <w:ind w:firstLine="720"/>
        <w:jc w:val="both"/>
        <w:rPr>
          <w:rtl/>
        </w:rPr>
      </w:pPr>
    </w:p>
    <w:p w:rsidR="008D3591" w:rsidRDefault="008D3591" w:rsidP="00684CC5">
      <w:pPr>
        <w:spacing w:line="480" w:lineRule="auto"/>
        <w:ind w:firstLine="720"/>
        <w:jc w:val="both"/>
        <w:rPr>
          <w:rtl/>
        </w:rPr>
      </w:pPr>
    </w:p>
    <w:p w:rsidR="008D3591" w:rsidRDefault="008D3591" w:rsidP="00684CC5">
      <w:pPr>
        <w:spacing w:line="480" w:lineRule="auto"/>
        <w:ind w:firstLine="720"/>
        <w:jc w:val="both"/>
        <w:rPr>
          <w:rtl/>
        </w:rPr>
      </w:pPr>
    </w:p>
    <w:p w:rsidR="008D3591" w:rsidRDefault="008D3591" w:rsidP="00684CC5">
      <w:pPr>
        <w:spacing w:line="480" w:lineRule="auto"/>
        <w:ind w:firstLine="720"/>
        <w:jc w:val="both"/>
        <w:rPr>
          <w:rtl/>
        </w:rPr>
      </w:pPr>
    </w:p>
    <w:p w:rsidR="008D3591" w:rsidRDefault="008D3591" w:rsidP="00684CC5">
      <w:pPr>
        <w:spacing w:line="480" w:lineRule="auto"/>
        <w:ind w:firstLine="720"/>
        <w:jc w:val="both"/>
        <w:rPr>
          <w:rtl/>
        </w:rPr>
      </w:pPr>
    </w:p>
    <w:p w:rsidR="004837C1" w:rsidRDefault="004837C1" w:rsidP="00684CC5">
      <w:pPr>
        <w:spacing w:line="480" w:lineRule="auto"/>
        <w:jc w:val="both"/>
        <w:rPr>
          <w:rtl/>
        </w:rPr>
      </w:pPr>
    </w:p>
    <w:p w:rsidR="006B6504" w:rsidRDefault="006B6504" w:rsidP="00684CC5">
      <w:pPr>
        <w:spacing w:line="480" w:lineRule="auto"/>
        <w:rPr>
          <w:rtl/>
        </w:rPr>
      </w:pPr>
    </w:p>
    <w:sectPr w:rsidR="006B6504" w:rsidSect="00CC3DCF">
      <w:headerReference w:type="default" r:id="rId7"/>
      <w:pgSz w:w="11906" w:h="16838"/>
      <w:pgMar w:top="1440" w:right="1797" w:bottom="1440" w:left="1797" w:header="709" w:footer="709" w:gutter="0"/>
      <w:pgNumType w:fmt="hebrew1"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A31" w:rsidRDefault="007E5A31" w:rsidP="00CC3DCF">
      <w:r>
        <w:separator/>
      </w:r>
    </w:p>
  </w:endnote>
  <w:endnote w:type="continuationSeparator" w:id="0">
    <w:p w:rsidR="007E5A31" w:rsidRDefault="007E5A31" w:rsidP="00CC3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A31" w:rsidRDefault="007E5A31" w:rsidP="00CC3DCF">
      <w:r>
        <w:separator/>
      </w:r>
    </w:p>
  </w:footnote>
  <w:footnote w:type="continuationSeparator" w:id="0">
    <w:p w:rsidR="007E5A31" w:rsidRDefault="007E5A31" w:rsidP="00CC3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DCF" w:rsidRDefault="007E5A31">
    <w:pPr>
      <w:pStyle w:val="a4"/>
    </w:pPr>
    <w:r>
      <w:fldChar w:fldCharType="begin"/>
    </w:r>
    <w:r>
      <w:instrText xml:space="preserve"> PAGE   \* MERGEFORMAT </w:instrText>
    </w:r>
    <w:r>
      <w:fldChar w:fldCharType="separate"/>
    </w:r>
    <w:r w:rsidR="00625275" w:rsidRPr="00625275">
      <w:rPr>
        <w:rFonts w:ascii="Arial" w:hAnsi="Arial" w:cs="Arial" w:hint="eastAsia"/>
        <w:noProof/>
        <w:rtl/>
        <w:lang w:val="he-IL"/>
      </w:rPr>
      <w:t>א</w:t>
    </w:r>
    <w:r>
      <w:rPr>
        <w:rFonts w:ascii="Arial" w:hAnsi="Arial" w:cs="Arial"/>
        <w:noProof/>
        <w:lang w:val="he-IL"/>
      </w:rPr>
      <w:fldChar w:fldCharType="end"/>
    </w:r>
  </w:p>
  <w:p w:rsidR="00CC3DCF" w:rsidRDefault="00CC3DC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43D9"/>
    <w:rsid w:val="0000525A"/>
    <w:rsid w:val="00011184"/>
    <w:rsid w:val="00011CDB"/>
    <w:rsid w:val="000254D8"/>
    <w:rsid w:val="000443D9"/>
    <w:rsid w:val="000C0C88"/>
    <w:rsid w:val="000D59E6"/>
    <w:rsid w:val="0010769B"/>
    <w:rsid w:val="00130532"/>
    <w:rsid w:val="00134A23"/>
    <w:rsid w:val="00135A78"/>
    <w:rsid w:val="001721B1"/>
    <w:rsid w:val="00173953"/>
    <w:rsid w:val="001A5756"/>
    <w:rsid w:val="001B13A2"/>
    <w:rsid w:val="002105FD"/>
    <w:rsid w:val="00233607"/>
    <w:rsid w:val="0024255A"/>
    <w:rsid w:val="00266819"/>
    <w:rsid w:val="00286ABB"/>
    <w:rsid w:val="00291B4F"/>
    <w:rsid w:val="0029763A"/>
    <w:rsid w:val="002A0872"/>
    <w:rsid w:val="002B18F8"/>
    <w:rsid w:val="002B4A8F"/>
    <w:rsid w:val="002D536C"/>
    <w:rsid w:val="002E1735"/>
    <w:rsid w:val="002E2F7E"/>
    <w:rsid w:val="002E7A63"/>
    <w:rsid w:val="002F40C9"/>
    <w:rsid w:val="00325408"/>
    <w:rsid w:val="00342C0A"/>
    <w:rsid w:val="0035040E"/>
    <w:rsid w:val="0035303C"/>
    <w:rsid w:val="003A222B"/>
    <w:rsid w:val="003A7518"/>
    <w:rsid w:val="003B5FB8"/>
    <w:rsid w:val="003B792D"/>
    <w:rsid w:val="003D7359"/>
    <w:rsid w:val="003F0988"/>
    <w:rsid w:val="003F0C84"/>
    <w:rsid w:val="003F469C"/>
    <w:rsid w:val="00414C6C"/>
    <w:rsid w:val="0044458C"/>
    <w:rsid w:val="00463E9A"/>
    <w:rsid w:val="00466493"/>
    <w:rsid w:val="004837C1"/>
    <w:rsid w:val="004D7CB5"/>
    <w:rsid w:val="004F5907"/>
    <w:rsid w:val="00524561"/>
    <w:rsid w:val="00525ED2"/>
    <w:rsid w:val="00544080"/>
    <w:rsid w:val="0056339D"/>
    <w:rsid w:val="005778D5"/>
    <w:rsid w:val="005C1976"/>
    <w:rsid w:val="00625275"/>
    <w:rsid w:val="0063417B"/>
    <w:rsid w:val="00683079"/>
    <w:rsid w:val="00684CC5"/>
    <w:rsid w:val="00685F34"/>
    <w:rsid w:val="006924F2"/>
    <w:rsid w:val="006A3983"/>
    <w:rsid w:val="006B400A"/>
    <w:rsid w:val="006B5775"/>
    <w:rsid w:val="006B6504"/>
    <w:rsid w:val="006C7A7E"/>
    <w:rsid w:val="006E0555"/>
    <w:rsid w:val="00703532"/>
    <w:rsid w:val="007433F5"/>
    <w:rsid w:val="00747AA4"/>
    <w:rsid w:val="00792458"/>
    <w:rsid w:val="007B3970"/>
    <w:rsid w:val="007C0B7B"/>
    <w:rsid w:val="007D5B29"/>
    <w:rsid w:val="007E5A31"/>
    <w:rsid w:val="008054A8"/>
    <w:rsid w:val="008157E0"/>
    <w:rsid w:val="00816F25"/>
    <w:rsid w:val="00833119"/>
    <w:rsid w:val="008338D6"/>
    <w:rsid w:val="00840DF9"/>
    <w:rsid w:val="00843B1B"/>
    <w:rsid w:val="00862500"/>
    <w:rsid w:val="00864FFA"/>
    <w:rsid w:val="00865E0F"/>
    <w:rsid w:val="00867612"/>
    <w:rsid w:val="00881CC8"/>
    <w:rsid w:val="00881D41"/>
    <w:rsid w:val="00890409"/>
    <w:rsid w:val="0089217B"/>
    <w:rsid w:val="008C55F6"/>
    <w:rsid w:val="008D3591"/>
    <w:rsid w:val="008D37ED"/>
    <w:rsid w:val="008F0EC9"/>
    <w:rsid w:val="009237CA"/>
    <w:rsid w:val="009311F0"/>
    <w:rsid w:val="009378DA"/>
    <w:rsid w:val="00950842"/>
    <w:rsid w:val="00976A7F"/>
    <w:rsid w:val="00990E8B"/>
    <w:rsid w:val="00994496"/>
    <w:rsid w:val="009A37A9"/>
    <w:rsid w:val="009E44A0"/>
    <w:rsid w:val="00A02906"/>
    <w:rsid w:val="00A329FC"/>
    <w:rsid w:val="00A47070"/>
    <w:rsid w:val="00A53B8D"/>
    <w:rsid w:val="00A626B2"/>
    <w:rsid w:val="00A77185"/>
    <w:rsid w:val="00A85351"/>
    <w:rsid w:val="00AA3EE4"/>
    <w:rsid w:val="00AA411A"/>
    <w:rsid w:val="00AB176E"/>
    <w:rsid w:val="00AC0550"/>
    <w:rsid w:val="00AC1006"/>
    <w:rsid w:val="00AC3ECE"/>
    <w:rsid w:val="00AD6251"/>
    <w:rsid w:val="00AF70AD"/>
    <w:rsid w:val="00B00808"/>
    <w:rsid w:val="00B06626"/>
    <w:rsid w:val="00B52417"/>
    <w:rsid w:val="00B569F0"/>
    <w:rsid w:val="00B6207B"/>
    <w:rsid w:val="00B8716B"/>
    <w:rsid w:val="00BC16BC"/>
    <w:rsid w:val="00BD6F72"/>
    <w:rsid w:val="00C11243"/>
    <w:rsid w:val="00C246E2"/>
    <w:rsid w:val="00C511AE"/>
    <w:rsid w:val="00C629F7"/>
    <w:rsid w:val="00C80515"/>
    <w:rsid w:val="00CB59FD"/>
    <w:rsid w:val="00CB5A08"/>
    <w:rsid w:val="00CC3DCF"/>
    <w:rsid w:val="00CD783C"/>
    <w:rsid w:val="00CD78E3"/>
    <w:rsid w:val="00CF7822"/>
    <w:rsid w:val="00D00802"/>
    <w:rsid w:val="00D01107"/>
    <w:rsid w:val="00D17A8B"/>
    <w:rsid w:val="00D27BA0"/>
    <w:rsid w:val="00D35568"/>
    <w:rsid w:val="00D369BC"/>
    <w:rsid w:val="00D41B2E"/>
    <w:rsid w:val="00D74E00"/>
    <w:rsid w:val="00D8681E"/>
    <w:rsid w:val="00D956E2"/>
    <w:rsid w:val="00DB0E26"/>
    <w:rsid w:val="00DB3CB8"/>
    <w:rsid w:val="00DB5315"/>
    <w:rsid w:val="00DB6C53"/>
    <w:rsid w:val="00DC0E78"/>
    <w:rsid w:val="00DD548B"/>
    <w:rsid w:val="00DD5A5C"/>
    <w:rsid w:val="00DF1435"/>
    <w:rsid w:val="00DF6D35"/>
    <w:rsid w:val="00E12217"/>
    <w:rsid w:val="00E1242D"/>
    <w:rsid w:val="00E24B9F"/>
    <w:rsid w:val="00E25492"/>
    <w:rsid w:val="00E258A1"/>
    <w:rsid w:val="00E26614"/>
    <w:rsid w:val="00E43A85"/>
    <w:rsid w:val="00E5589E"/>
    <w:rsid w:val="00E7564F"/>
    <w:rsid w:val="00EB1CD3"/>
    <w:rsid w:val="00EC115E"/>
    <w:rsid w:val="00ED00F7"/>
    <w:rsid w:val="00ED4BD0"/>
    <w:rsid w:val="00EE2409"/>
    <w:rsid w:val="00EF1777"/>
    <w:rsid w:val="00EF780B"/>
    <w:rsid w:val="00F22B5C"/>
    <w:rsid w:val="00F2584F"/>
    <w:rsid w:val="00F2678E"/>
    <w:rsid w:val="00F453AF"/>
    <w:rsid w:val="00F82AF5"/>
    <w:rsid w:val="00FA784E"/>
    <w:rsid w:val="00FB6A81"/>
    <w:rsid w:val="00FD0A7E"/>
    <w:rsid w:val="00FD29CA"/>
    <w:rsid w:val="00FE1E44"/>
    <w:rsid w:val="00FF074C"/>
    <w:rsid w:val="00FF0A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2417"/>
    <w:pPr>
      <w:bidi/>
    </w:pPr>
    <w:rPr>
      <w:sz w:val="24"/>
      <w:szCs w:val="24"/>
    </w:rPr>
  </w:style>
  <w:style w:type="paragraph" w:styleId="2">
    <w:name w:val="heading 2"/>
    <w:basedOn w:val="a"/>
    <w:next w:val="a"/>
    <w:link w:val="20"/>
    <w:uiPriority w:val="9"/>
    <w:semiHidden/>
    <w:unhideWhenUsed/>
    <w:qFormat/>
    <w:rsid w:val="00625275"/>
    <w:pPr>
      <w:keepNext/>
      <w:spacing w:before="240" w:after="60" w:line="48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AB176E"/>
    <w:rPr>
      <w:b/>
      <w:bCs/>
      <w:i w:val="0"/>
      <w:iCs w:val="0"/>
    </w:rPr>
  </w:style>
  <w:style w:type="character" w:customStyle="1" w:styleId="apple-converted-space">
    <w:name w:val="apple-converted-space"/>
    <w:basedOn w:val="a0"/>
    <w:rsid w:val="00011184"/>
  </w:style>
  <w:style w:type="paragraph" w:styleId="a4">
    <w:name w:val="header"/>
    <w:basedOn w:val="a"/>
    <w:link w:val="a5"/>
    <w:uiPriority w:val="99"/>
    <w:rsid w:val="00CC3DCF"/>
    <w:pPr>
      <w:tabs>
        <w:tab w:val="center" w:pos="4153"/>
        <w:tab w:val="right" w:pos="8306"/>
      </w:tabs>
    </w:pPr>
  </w:style>
  <w:style w:type="character" w:customStyle="1" w:styleId="a5">
    <w:name w:val="כותרת עליונה תו"/>
    <w:link w:val="a4"/>
    <w:uiPriority w:val="99"/>
    <w:rsid w:val="00CC3DCF"/>
    <w:rPr>
      <w:sz w:val="24"/>
      <w:szCs w:val="24"/>
    </w:rPr>
  </w:style>
  <w:style w:type="paragraph" w:styleId="a6">
    <w:name w:val="footer"/>
    <w:basedOn w:val="a"/>
    <w:link w:val="a7"/>
    <w:rsid w:val="00CC3DCF"/>
    <w:pPr>
      <w:tabs>
        <w:tab w:val="center" w:pos="4153"/>
        <w:tab w:val="right" w:pos="8306"/>
      </w:tabs>
    </w:pPr>
  </w:style>
  <w:style w:type="character" w:customStyle="1" w:styleId="a7">
    <w:name w:val="כותרת תחתונה תו"/>
    <w:link w:val="a6"/>
    <w:rsid w:val="00CC3DCF"/>
    <w:rPr>
      <w:sz w:val="24"/>
      <w:szCs w:val="24"/>
    </w:rPr>
  </w:style>
  <w:style w:type="character" w:customStyle="1" w:styleId="20">
    <w:name w:val="כותרת 2 תו"/>
    <w:link w:val="2"/>
    <w:uiPriority w:val="9"/>
    <w:semiHidden/>
    <w:rsid w:val="00625275"/>
    <w:rPr>
      <w:rFonts w:ascii="Cambria" w:hAnsi="Cambria"/>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76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2208</Words>
  <Characters>11041</Characters>
  <Application>Microsoft Office Word</Application>
  <DocSecurity>0</DocSecurity>
  <Lines>92</Lines>
  <Paragraphs>26</Paragraphs>
  <ScaleCrop>false</ScaleCrop>
  <HeadingPairs>
    <vt:vector size="2" baseType="variant">
      <vt:variant>
        <vt:lpstr>שם</vt:lpstr>
      </vt:variant>
      <vt:variant>
        <vt:i4>1</vt:i4>
      </vt:variant>
    </vt:vector>
  </HeadingPairs>
  <TitlesOfParts>
    <vt:vector size="1" baseType="lpstr">
      <vt:lpstr>תקציר הצעת דוקטורט</vt:lpstr>
    </vt:vector>
  </TitlesOfParts>
  <Company>TAU</Company>
  <LinksUpToDate>false</LinksUpToDate>
  <CharactersWithSpaces>13223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תקציר הצעת דוקטורט</dc:title>
  <dc:creator>Inbar Kaminsky</dc:creator>
  <cp:keywords>PhD Proposal Summary</cp:keywords>
  <cp:lastModifiedBy>Revital Zipori</cp:lastModifiedBy>
  <cp:revision>2</cp:revision>
  <dcterms:created xsi:type="dcterms:W3CDTF">2016-04-20T12:29:00Z</dcterms:created>
  <dcterms:modified xsi:type="dcterms:W3CDTF">2016-04-20T12:29:00Z</dcterms:modified>
</cp:coreProperties>
</file>