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511" w:rsidRDefault="00155511" w:rsidP="006475EC">
      <w:pPr>
        <w:spacing w:line="480" w:lineRule="auto"/>
        <w:jc w:val="center"/>
        <w:rPr>
          <w:rFonts w:cs="David"/>
          <w:b/>
          <w:bCs/>
          <w:sz w:val="28"/>
          <w:szCs w:val="28"/>
          <w:rtl/>
        </w:rPr>
      </w:pPr>
      <w:r w:rsidRPr="008A6766">
        <w:rPr>
          <w:rStyle w:val="aa"/>
          <w:rFonts w:ascii="inherit" w:eastAsia="Times New Roman" w:hAnsi="inherit" w:cs="Arial"/>
          <w:color w:val="5B5B5B"/>
          <w:sz w:val="24"/>
          <w:szCs w:val="24"/>
          <w:bdr w:val="none" w:sz="0" w:space="0" w:color="auto" w:frame="1"/>
          <w:rtl/>
        </w:rPr>
        <w:t>"!</w:t>
      </w:r>
      <w:r w:rsidRPr="008A6766">
        <w:rPr>
          <w:rStyle w:val="aa"/>
          <w:rFonts w:ascii="inherit" w:eastAsia="Times New Roman" w:hAnsi="inherit" w:cs="Arial"/>
          <w:color w:val="5B5B5B"/>
          <w:sz w:val="24"/>
          <w:szCs w:val="24"/>
          <w:bdr w:val="none" w:sz="0" w:space="0" w:color="auto" w:frame="1"/>
        </w:rPr>
        <w:t>Viva Berón</w:t>
      </w:r>
      <w:r w:rsidRPr="008A6766">
        <w:rPr>
          <w:rStyle w:val="aa"/>
          <w:rFonts w:ascii="inherit" w:eastAsia="Times New Roman" w:hAnsi="inherit" w:cs="Arial"/>
          <w:color w:val="5B5B5B"/>
          <w:sz w:val="24"/>
          <w:szCs w:val="24"/>
          <w:bdr w:val="none" w:sz="0" w:space="0" w:color="auto" w:frame="1"/>
          <w:rtl/>
        </w:rPr>
        <w:t xml:space="preserve">: </w:t>
      </w:r>
      <w:r w:rsidRPr="008A6766">
        <w:rPr>
          <w:rStyle w:val="aa"/>
          <w:rFonts w:ascii="inherit" w:eastAsia="Times New Roman" w:hAnsi="inherit" w:cs="Arial" w:hint="cs"/>
          <w:color w:val="5B5B5B"/>
          <w:sz w:val="24"/>
          <w:szCs w:val="24"/>
          <w:bdr w:val="none" w:sz="0" w:space="0" w:color="auto" w:frame="1"/>
          <w:rtl/>
        </w:rPr>
        <w:t>השתלבותם</w:t>
      </w:r>
      <w:r w:rsidRPr="008A6766">
        <w:rPr>
          <w:rStyle w:val="aa"/>
          <w:rFonts w:ascii="inherit" w:eastAsia="Times New Roman" w:hAnsi="inherit" w:cs="Arial"/>
          <w:color w:val="5B5B5B"/>
          <w:sz w:val="24"/>
          <w:szCs w:val="24"/>
          <w:bdr w:val="none" w:sz="0" w:space="0" w:color="auto" w:frame="1"/>
          <w:rtl/>
        </w:rPr>
        <w:t xml:space="preserve"> </w:t>
      </w:r>
      <w:r w:rsidRPr="008A6766">
        <w:rPr>
          <w:rStyle w:val="aa"/>
          <w:rFonts w:ascii="inherit" w:eastAsia="Times New Roman" w:hAnsi="inherit" w:cs="Arial" w:hint="cs"/>
          <w:color w:val="5B5B5B"/>
          <w:sz w:val="24"/>
          <w:szCs w:val="24"/>
          <w:bdr w:val="none" w:sz="0" w:space="0" w:color="auto" w:frame="1"/>
          <w:rtl/>
        </w:rPr>
        <w:t>של</w:t>
      </w:r>
      <w:r w:rsidRPr="008A6766">
        <w:rPr>
          <w:rStyle w:val="aa"/>
          <w:rFonts w:ascii="inherit" w:eastAsia="Times New Roman" w:hAnsi="inherit" w:cs="Arial"/>
          <w:color w:val="5B5B5B"/>
          <w:sz w:val="24"/>
          <w:szCs w:val="24"/>
          <w:bdr w:val="none" w:sz="0" w:space="0" w:color="auto" w:frame="1"/>
          <w:rtl/>
        </w:rPr>
        <w:t xml:space="preserve"> </w:t>
      </w:r>
      <w:r w:rsidRPr="008A6766">
        <w:rPr>
          <w:rStyle w:val="aa"/>
          <w:rFonts w:ascii="inherit" w:eastAsia="Times New Roman" w:hAnsi="inherit" w:cs="Arial" w:hint="cs"/>
          <w:color w:val="5B5B5B"/>
          <w:sz w:val="24"/>
          <w:szCs w:val="24"/>
          <w:bdr w:val="none" w:sz="0" w:space="0" w:color="auto" w:frame="1"/>
          <w:rtl/>
        </w:rPr>
        <w:t>ארגנטינים</w:t>
      </w:r>
      <w:r w:rsidRPr="008A6766">
        <w:rPr>
          <w:rStyle w:val="aa"/>
          <w:rFonts w:ascii="inherit" w:eastAsia="Times New Roman" w:hAnsi="inherit" w:cs="Arial"/>
          <w:color w:val="5B5B5B"/>
          <w:sz w:val="24"/>
          <w:szCs w:val="24"/>
          <w:bdr w:val="none" w:sz="0" w:space="0" w:color="auto" w:frame="1"/>
          <w:rtl/>
        </w:rPr>
        <w:t xml:space="preserve">- </w:t>
      </w:r>
      <w:r w:rsidRPr="008A6766">
        <w:rPr>
          <w:rStyle w:val="aa"/>
          <w:rFonts w:ascii="inherit" w:eastAsia="Times New Roman" w:hAnsi="inherit" w:cs="Arial" w:hint="cs"/>
          <w:color w:val="5B5B5B"/>
          <w:sz w:val="24"/>
          <w:szCs w:val="24"/>
          <w:bdr w:val="none" w:sz="0" w:space="0" w:color="auto" w:frame="1"/>
          <w:rtl/>
        </w:rPr>
        <w:t>ערבים</w:t>
      </w:r>
      <w:r w:rsidRPr="008A6766">
        <w:rPr>
          <w:rStyle w:val="aa"/>
          <w:rFonts w:ascii="inherit" w:eastAsia="Times New Roman" w:hAnsi="inherit" w:cs="Arial"/>
          <w:color w:val="5B5B5B"/>
          <w:sz w:val="24"/>
          <w:szCs w:val="24"/>
          <w:bdr w:val="none" w:sz="0" w:space="0" w:color="auto" w:frame="1"/>
          <w:rtl/>
        </w:rPr>
        <w:t xml:space="preserve"> </w:t>
      </w:r>
      <w:r w:rsidRPr="008A6766">
        <w:rPr>
          <w:rStyle w:val="aa"/>
          <w:rFonts w:ascii="inherit" w:eastAsia="Times New Roman" w:hAnsi="inherit" w:cs="Arial" w:hint="cs"/>
          <w:color w:val="5B5B5B"/>
          <w:sz w:val="24"/>
          <w:szCs w:val="24"/>
          <w:bdr w:val="none" w:sz="0" w:space="0" w:color="auto" w:frame="1"/>
          <w:rtl/>
        </w:rPr>
        <w:t>בפוליטיקה</w:t>
      </w:r>
      <w:r w:rsidRPr="008A6766">
        <w:rPr>
          <w:rStyle w:val="aa"/>
          <w:rFonts w:ascii="inherit" w:eastAsia="Times New Roman" w:hAnsi="inherit" w:cs="Arial"/>
          <w:color w:val="5B5B5B"/>
          <w:sz w:val="24"/>
          <w:szCs w:val="24"/>
          <w:bdr w:val="none" w:sz="0" w:space="0" w:color="auto" w:frame="1"/>
          <w:rtl/>
        </w:rPr>
        <w:t xml:space="preserve"> </w:t>
      </w:r>
      <w:r w:rsidRPr="008A6766">
        <w:rPr>
          <w:rStyle w:val="aa"/>
          <w:rFonts w:ascii="inherit" w:eastAsia="Times New Roman" w:hAnsi="inherit" w:cs="Arial" w:hint="cs"/>
          <w:color w:val="5B5B5B"/>
          <w:sz w:val="24"/>
          <w:szCs w:val="24"/>
          <w:bdr w:val="none" w:sz="0" w:space="0" w:color="auto" w:frame="1"/>
          <w:rtl/>
        </w:rPr>
        <w:t>באמצעות</w:t>
      </w:r>
      <w:r w:rsidRPr="008A6766">
        <w:rPr>
          <w:rStyle w:val="aa"/>
          <w:rFonts w:ascii="inherit" w:eastAsia="Times New Roman" w:hAnsi="inherit" w:cs="Arial"/>
          <w:color w:val="5B5B5B"/>
          <w:sz w:val="24"/>
          <w:szCs w:val="24"/>
          <w:bdr w:val="none" w:sz="0" w:space="0" w:color="auto" w:frame="1"/>
          <w:rtl/>
        </w:rPr>
        <w:t xml:space="preserve"> </w:t>
      </w:r>
      <w:r w:rsidRPr="008A6766">
        <w:rPr>
          <w:rStyle w:val="aa"/>
          <w:rFonts w:ascii="inherit" w:eastAsia="Times New Roman" w:hAnsi="inherit" w:cs="Arial" w:hint="cs"/>
          <w:color w:val="5B5B5B"/>
          <w:sz w:val="24"/>
          <w:szCs w:val="24"/>
          <w:bdr w:val="none" w:sz="0" w:space="0" w:color="auto" w:frame="1"/>
          <w:rtl/>
        </w:rPr>
        <w:t>התנועה</w:t>
      </w:r>
      <w:r w:rsidRPr="008A6766">
        <w:rPr>
          <w:rStyle w:val="aa"/>
          <w:rFonts w:ascii="inherit" w:eastAsia="Times New Roman" w:hAnsi="inherit" w:cs="Arial"/>
          <w:color w:val="5B5B5B"/>
          <w:sz w:val="24"/>
          <w:szCs w:val="24"/>
          <w:bdr w:val="none" w:sz="0" w:space="0" w:color="auto" w:frame="1"/>
          <w:rtl/>
        </w:rPr>
        <w:t xml:space="preserve"> </w:t>
      </w:r>
      <w:r w:rsidRPr="008A6766">
        <w:rPr>
          <w:rStyle w:val="aa"/>
          <w:rFonts w:ascii="inherit" w:eastAsia="Times New Roman" w:hAnsi="inherit" w:cs="Arial" w:hint="cs"/>
          <w:color w:val="5B5B5B"/>
          <w:sz w:val="24"/>
          <w:szCs w:val="24"/>
          <w:bdr w:val="none" w:sz="0" w:space="0" w:color="auto" w:frame="1"/>
          <w:rtl/>
        </w:rPr>
        <w:t>הפרוניסטית</w:t>
      </w:r>
      <w:r w:rsidRPr="008A6766">
        <w:rPr>
          <w:rStyle w:val="aa"/>
          <w:rFonts w:ascii="inherit" w:eastAsia="Times New Roman" w:hAnsi="inherit" w:cs="Arial"/>
          <w:color w:val="5B5B5B"/>
          <w:sz w:val="24"/>
          <w:szCs w:val="24"/>
          <w:bdr w:val="none" w:sz="0" w:space="0" w:color="auto" w:frame="1"/>
          <w:rtl/>
        </w:rPr>
        <w:t>, 1945- 1955"</w:t>
      </w:r>
    </w:p>
    <w:p w:rsidR="00155511" w:rsidRDefault="00155511" w:rsidP="006475EC">
      <w:pPr>
        <w:spacing w:line="480" w:lineRule="auto"/>
        <w:jc w:val="center"/>
        <w:rPr>
          <w:rFonts w:cs="David"/>
          <w:b/>
          <w:bCs/>
          <w:sz w:val="28"/>
          <w:szCs w:val="28"/>
          <w:rtl/>
        </w:rPr>
      </w:pPr>
      <w:r w:rsidRPr="002F787E">
        <w:rPr>
          <w:rStyle w:val="aa"/>
          <w:rFonts w:ascii="Arial" w:eastAsia="Times New Roman" w:hAnsi="Arial" w:hint="cs"/>
          <w:color w:val="5B5B5B"/>
          <w:sz w:val="24"/>
          <w:szCs w:val="24"/>
          <w:bdr w:val="none" w:sz="0" w:space="0" w:color="auto" w:frame="1"/>
          <w:rtl/>
        </w:rPr>
        <w:t>אריאל</w:t>
      </w:r>
      <w:r w:rsidRPr="002F787E">
        <w:rPr>
          <w:rStyle w:val="aa"/>
          <w:rFonts w:ascii="Arial" w:eastAsia="Times New Roman" w:hAnsi="Arial"/>
          <w:color w:val="5B5B5B"/>
          <w:sz w:val="24"/>
          <w:szCs w:val="24"/>
          <w:bdr w:val="none" w:sz="0" w:space="0" w:color="auto" w:frame="1"/>
          <w:rtl/>
        </w:rPr>
        <w:t xml:space="preserve"> </w:t>
      </w:r>
      <w:r w:rsidRPr="002F787E">
        <w:rPr>
          <w:rStyle w:val="aa"/>
          <w:rFonts w:ascii="Arial" w:eastAsia="Times New Roman" w:hAnsi="Arial" w:hint="cs"/>
          <w:color w:val="5B5B5B"/>
          <w:sz w:val="24"/>
          <w:szCs w:val="24"/>
          <w:bdr w:val="none" w:sz="0" w:space="0" w:color="auto" w:frame="1"/>
          <w:rtl/>
        </w:rPr>
        <w:t>נויחוביץ</w:t>
      </w:r>
      <w:r w:rsidRPr="002F787E">
        <w:rPr>
          <w:rStyle w:val="aa"/>
          <w:rFonts w:ascii="Arial" w:eastAsia="Times New Roman" w:hAnsi="Arial"/>
          <w:color w:val="5B5B5B"/>
          <w:sz w:val="24"/>
          <w:szCs w:val="24"/>
          <w:bdr w:val="none" w:sz="0" w:space="0" w:color="auto" w:frame="1"/>
          <w:rtl/>
        </w:rPr>
        <w:t>'</w:t>
      </w:r>
      <w:bookmarkStart w:id="0" w:name="_GoBack"/>
      <w:bookmarkEnd w:id="0"/>
    </w:p>
    <w:p w:rsidR="006475EC" w:rsidRPr="00344619" w:rsidRDefault="006475EC" w:rsidP="006475EC">
      <w:pPr>
        <w:spacing w:line="480" w:lineRule="auto"/>
        <w:jc w:val="center"/>
        <w:rPr>
          <w:rFonts w:cs="David"/>
          <w:b/>
          <w:bCs/>
          <w:sz w:val="28"/>
          <w:szCs w:val="28"/>
          <w:rtl/>
        </w:rPr>
      </w:pPr>
      <w:r w:rsidRPr="00344619">
        <w:rPr>
          <w:rFonts w:cs="David" w:hint="cs"/>
          <w:b/>
          <w:bCs/>
          <w:sz w:val="28"/>
          <w:szCs w:val="28"/>
          <w:rtl/>
        </w:rPr>
        <w:t>תקציר</w:t>
      </w:r>
    </w:p>
    <w:p w:rsidR="006475EC" w:rsidRDefault="006475EC" w:rsidP="006475EC">
      <w:pPr>
        <w:spacing w:line="480" w:lineRule="auto"/>
        <w:jc w:val="both"/>
        <w:rPr>
          <w:rFonts w:cs="David"/>
          <w:sz w:val="24"/>
          <w:szCs w:val="24"/>
          <w:rtl/>
        </w:rPr>
      </w:pPr>
      <w:r>
        <w:rPr>
          <w:rFonts w:cs="David" w:hint="cs"/>
          <w:sz w:val="24"/>
          <w:szCs w:val="24"/>
          <w:rtl/>
        </w:rPr>
        <w:t xml:space="preserve">מחקר זה עוסק בהשתלבותם של ארגנטינאים-ערבים בפוליטיקה הארגנטינית דרך הפרוניזם.  מוקד המחקר הינו אוכלוסיית הארגנטינים שהם בני דור שני ושלישי למהגרים מזרח תיכוניים, במיוחד בפרובינציות של סנטיאגו דל אסטרו </w:t>
      </w:r>
      <w:r>
        <w:rPr>
          <w:rFonts w:cs="David"/>
          <w:sz w:val="24"/>
          <w:szCs w:val="24"/>
        </w:rPr>
        <w:t>(Santiago del Estero)</w:t>
      </w:r>
      <w:r>
        <w:rPr>
          <w:rFonts w:cs="David" w:hint="cs"/>
          <w:sz w:val="24"/>
          <w:szCs w:val="24"/>
          <w:rtl/>
        </w:rPr>
        <w:t xml:space="preserve"> וטוקומן </w:t>
      </w:r>
      <w:r>
        <w:rPr>
          <w:rFonts w:cs="David"/>
          <w:sz w:val="24"/>
          <w:szCs w:val="24"/>
        </w:rPr>
        <w:t>(Tucumán)</w:t>
      </w:r>
      <w:r>
        <w:rPr>
          <w:rFonts w:cs="David" w:hint="cs"/>
          <w:sz w:val="24"/>
          <w:szCs w:val="24"/>
          <w:rtl/>
        </w:rPr>
        <w:t>. מהגרים אלו הגיעו בעיקר מסוריה ולבנון של היום. רובם היו נוצרים, עם מיעוט מוסלמי ודרוזי. גם ארמנים ויהודים הגיעו באותה עת מן המזרח התיכון, אבל זהותם האתנית כללה מרכיבים דתיים, תרבותיים ולשוניים נוספים, אשר ייחדו אותם מן הקבוצה העיקרית של המהגרים המזרח תיכוניים. משום כך אינם מוכללים במחקר, למרות שיש להם כמה מרכיבי זהות משותפים עם שאר קבוצות ההגירה המזרח תיכונית. המאפיינים המשותפים של הקבוצה העומדת במרכז מחקרי נשענים על היסטוריה משותפת וסממנים תרבותיים, דוגמת מושגים קולינריים, אורח חיים, אופי המשפחה המורחבת, פרקטיקות כלכליות משותפות ושילוב מילים ערביות בספרדית המדוברת במרחב הביתי או במסגרות חברתיות משותפות. בנוסף על כך, גובשה הזהות הארגנטינית-ערבית כתגובה לסטריאוטיפים הרווחים בחברה הכללית, שאפיינה אותם לא פעם כ"תורכים"</w:t>
      </w:r>
      <w:r>
        <w:rPr>
          <w:rStyle w:val="a5"/>
          <w:rFonts w:cs="David"/>
          <w:sz w:val="24"/>
          <w:szCs w:val="24"/>
          <w:rtl/>
        </w:rPr>
        <w:footnoteReference w:id="1"/>
      </w:r>
      <w:r>
        <w:rPr>
          <w:rFonts w:cs="David" w:hint="cs"/>
          <w:sz w:val="24"/>
          <w:szCs w:val="24"/>
          <w:rtl/>
        </w:rPr>
        <w:t>. כלומר, הזהות הקהילתית נבנתה מבפנים ומבחוץ כאחד. על מנת להבין את ייחודה של הקבוצה הנחקרת, ניתן להשוותה עם היהודים שהגיעו לארגנטינה. האחרונים הגיעו בגלי הגירה דומים מבחינה מספרית והתקופה בה הגיעו, ואף הבניית זהותם האתנית נעשתה באורח דומה. למרות זאת, קיימים מספר מאפיינים שמבדילים בין שתי הקבוצות. ראשית, הפיזור הגיאוגרפי של המהגרים הערבים הינו גדול בהרבה מאשר זה של היהודים, שהיו מרוכזים בעיקר בבירה הפדראלית בואנוס איירס. שנית, גם הגיוון הדתי בקרב הערבים היה גדול יותר. בקרב המהגרים הערבים ניתן למצוא נוצרים, מוסלמים, דרוזים ועלאווים. שלישית, השתלבותם הכלכלית והחברתית של היהודים הייתה הטרוגנית יותר מזו של הערבים. לצד הסוחרים היו בקרב היהודים גם פועלים רבים ובעלי מקצועות חופשיים. לעומת זאת, הארגנטינים-הערבים התרכזו בעיקר בענפי המסחר, ורק בדור השני והשלישי הצליחו בהדרגה לרכוש תארים אקדמים ולעסוק במקצועות חופשיים.</w:t>
      </w:r>
    </w:p>
    <w:p w:rsidR="006475EC" w:rsidRDefault="006475EC" w:rsidP="006475EC">
      <w:pPr>
        <w:spacing w:line="480" w:lineRule="auto"/>
        <w:jc w:val="both"/>
        <w:rPr>
          <w:rFonts w:cs="David"/>
          <w:sz w:val="24"/>
          <w:szCs w:val="24"/>
          <w:rtl/>
        </w:rPr>
      </w:pPr>
    </w:p>
    <w:p w:rsidR="006475EC" w:rsidRDefault="006475EC" w:rsidP="006475EC">
      <w:pPr>
        <w:spacing w:line="480" w:lineRule="auto"/>
        <w:jc w:val="both"/>
        <w:rPr>
          <w:rFonts w:cs="David"/>
          <w:sz w:val="24"/>
          <w:szCs w:val="24"/>
          <w:rtl/>
        </w:rPr>
      </w:pPr>
      <w:r>
        <w:rPr>
          <w:rFonts w:cs="David" w:hint="cs"/>
          <w:sz w:val="24"/>
          <w:szCs w:val="24"/>
          <w:rtl/>
        </w:rPr>
        <w:t>הציר המרכזי של מחקרי בוחן את השתלבות הקבוצה האתנית הנידונה בפוליטיקה המקומית,  כאשר תנועה פופוליסטית זו הפגינה פתיחות לא רק כלפי קבוצות חברתיות שונות שהודרו עד אז מן התהליך הפוליטי, אלא גם כלפי קבוצות אתניות שונות וביניהן ארגנטינים-ערבים. פרון הבין כבר משלב מוקדם את הצורך לשלב מגזרים חברתיים ואתניים מגוונים בתנועה על מנת לשרוד,  ועם הזמן צירף לתוכה גם מגוון רחב של אנשים בעלי רקע פוליטי ואידיאולוגי שונה. מדיניות זו תרמה לרבגוניות האידיאולוגית המאפיינת את התנועה הפרוניסטית עד היום. מחקר זה הינו הראשון שעוסק בהשתלבות פוליטית של ארגנטינים-ערבים בצפון מערב ארגנטינה, ומהמעטים העוסקים בנושא באמריקה הלטינית בכלל. אחת הסיבות העיקריות למיעוט המחקר בנושא זה נובעת מן הנטייה להגביל את העיסוק בשאלות אתניות למחקר על אוכלוסיות ילידיות או כאלה שמוצאן אפריקני. עבודה  מחקרית זאת תורמת אם כן לחקר ההיסטוריה החברתית של קבוצות אתניות, כמו גם ליחס של התנועה הפרוניסטית לקבוצות אלו. טענתי היא כי הודות להון החברתי שהמהגרים הערבים צברו בתחילת דרכם בארגנטינה ולפתיחות הפרוניזם כלפי קבוצות אתניות שונות בארגנטינה, ארגנטינים-ערבים ניצלו הזדמנויות אלו על מנת להשתלב בחיים הפוליטיים.  בשנים הראשונות להתיישבותם בארגנטינה סבלו המהגרים הערבים  מסטריאוטיפיים שליליים, בעיקר מצד האליטות המקומיות. צרוף נסיבות אלו אילץ אותם לנקוט באסטרטגיות התמודדות שונות על מנת להשתלב בחברה הארגנטינית. המעורבות  הפוליטית בשורות התנועה הפרוניסטית נתנה להם הזדמנות להפוך את הסטריאוטיפים השליליים על פיהם וכך לטפס במדרג החברתי באזור מגוריהם. יתר על כן, באמצעות פעילותם הכלכלית, המהגרים הערבים וצאצאיהם הצליחו לצבור הון חברתי ולהמיר אותו לכוח פוליטי, כשהם משתלבים במהירות גם במישור זה של החברה הארגנטינית.</w:t>
      </w:r>
    </w:p>
    <w:p w:rsidR="006475EC" w:rsidRDefault="006475EC" w:rsidP="006475EC">
      <w:pPr>
        <w:spacing w:line="480" w:lineRule="auto"/>
        <w:jc w:val="both"/>
        <w:rPr>
          <w:rFonts w:cs="David"/>
          <w:sz w:val="24"/>
          <w:szCs w:val="24"/>
          <w:rtl/>
        </w:rPr>
      </w:pPr>
    </w:p>
    <w:p w:rsidR="006475EC" w:rsidRDefault="006475EC" w:rsidP="006475EC">
      <w:pPr>
        <w:spacing w:line="480" w:lineRule="auto"/>
        <w:jc w:val="both"/>
        <w:rPr>
          <w:rFonts w:cs="David"/>
          <w:sz w:val="24"/>
          <w:szCs w:val="24"/>
          <w:rtl/>
        </w:rPr>
      </w:pPr>
      <w:r>
        <w:rPr>
          <w:rFonts w:cs="David" w:hint="cs"/>
          <w:sz w:val="24"/>
          <w:szCs w:val="24"/>
          <w:rtl/>
        </w:rPr>
        <w:t xml:space="preserve">למרות הדימיון בהשתלבות הסוציו-כלכלית של המהגרים הערבים בפרובינציות של טוקומן וסנטיאגו דל אסטרו והאופי החברתי הדומה שלהן - פרובינציות אלה שהתאפיינו באליטות חקלאיות מבוססות, מעמד פועלים רחב ומעמד ביניים צר - קיימים הבדלים באופי צמיחת התנועה הפרוניסטית וההשתלבות של הארגנטינים-ערבים בטוקומן ובסנטיאגו דל אסטרו. הדימיון העיקרי בין שתי הפרובינציות נובע מתהליך ההשתלבות הסוציו-כלכלי שהחל והתבסס באזורי פנים הפרובינציות. כאשר המהגרים המזרח תיכוניים זכו במספיק הון כלכלי ופוליטי, הם נעו לעבר המרכז הפרובינציאלי. בתהליך התהוות התנועה הפרוניסטית בסנטיאגו דל אסטרו, </w:t>
      </w:r>
      <w:r>
        <w:rPr>
          <w:rFonts w:cs="David" w:hint="cs"/>
          <w:sz w:val="24"/>
          <w:szCs w:val="24"/>
          <w:rtl/>
        </w:rPr>
        <w:lastRenderedPageBreak/>
        <w:t>לקאודיליוס המקומיים שהשתייכו למפלגה הרדיקלית האנטי-פרסונליסטית (הפלג השמרני של ה-</w:t>
      </w:r>
      <w:r>
        <w:rPr>
          <w:rFonts w:cs="David"/>
          <w:sz w:val="24"/>
          <w:szCs w:val="24"/>
        </w:rPr>
        <w:t>UCR</w:t>
      </w:r>
      <w:r>
        <w:rPr>
          <w:rFonts w:cs="David" w:hint="cs"/>
          <w:sz w:val="24"/>
          <w:szCs w:val="24"/>
          <w:rtl/>
        </w:rPr>
        <w:t>)  היה תפקיד מרכזי ולמעמד הפועלים היה מקום שולי בעקבות חולשתו הארגונית. לעומת זאת, בטוקומן פועלי תעשיית הסוכר היו הזרם  המרכזי שמאחורי הקמת התנועה הפרוניסטית בפרובינציה, כאשר מנהיגי הפועלים לקחו לידם את המונופול של ניהול המפלגה. בהדרגה נוצרו סכסוכים עם ההנהגה הראשית בבואנוס איירס שהובילו להתערבויות פדרליות תכופות בשלטון הפרובינציאלי ובסניף המפלגה בטוקומן ומוסדותיה במהלך העשור הפרוניסטי. גם בסנטיאגו דל אסטרו לא חסרו סכסוכים פנימיים בקרב התנועה הפרוניסטית. הם נוצרו בין הזרמים השונים בתוכה וגם כאן מצב זה הוביל להתערבות פדרלית בניהול הפרובינציה. למרות המורכבות במרקם הפוליטי והחברתי בקרב הפרוניזם בשתי הפרובינציות, הארגנטינים-ערבים הצליחו להשתלב במערכת הפוליטית ברוב המקרים להתייצב מחוץ לסכסוכים הפנים מפלגתיים. דוגמא לכך הינה טוקומן שבה ניתן להבחין בארגנטינים-ערבים בכל תחומי החיים הפוליטיים, כמו פרלמנטרים פרובינציאלים, לאומיים, ראשי משטרה ושרים. לעומת זאת, בסנטיאגו דל אסטרו ההשתלבות בתוך הממשלה הפרובינציאלית הייתה מורכבת יותר בעקבות אופייה הצר וריכוזיות הסמכויות סביב דמותו של המושל. אם כן, בסנטיאגו דל אסטרו, הכוח הפוליטי של הארגנטינים-ערבים התרכז עדיין בפנים הפרובינציה לעומת המתרחש בטוקומן. בכל זאת, ניתן לטעון שגם בטוקומן וגם בסנטיאגו דל אסטרו, הופעת הפרוניזם יצרה הזדמנות בכל הנוגע להשתלבות הפוליטית של הארגנטינים-ערבים שכמותה לא התרחשה במהלך שלטונות קודמים.</w:t>
      </w:r>
    </w:p>
    <w:p w:rsidR="006475EC" w:rsidRDefault="006475EC" w:rsidP="006475EC">
      <w:pPr>
        <w:spacing w:line="480" w:lineRule="auto"/>
        <w:jc w:val="both"/>
        <w:rPr>
          <w:rFonts w:cs="David"/>
          <w:sz w:val="24"/>
          <w:szCs w:val="24"/>
          <w:rtl/>
        </w:rPr>
      </w:pPr>
    </w:p>
    <w:p w:rsidR="006475EC" w:rsidRDefault="006475EC" w:rsidP="006475EC">
      <w:pPr>
        <w:spacing w:line="480" w:lineRule="auto"/>
        <w:jc w:val="both"/>
        <w:rPr>
          <w:rFonts w:cs="David"/>
          <w:sz w:val="24"/>
          <w:szCs w:val="24"/>
          <w:rtl/>
        </w:rPr>
      </w:pPr>
      <w:r>
        <w:rPr>
          <w:rFonts w:cs="David" w:hint="cs"/>
          <w:sz w:val="24"/>
          <w:szCs w:val="24"/>
          <w:rtl/>
        </w:rPr>
        <w:t xml:space="preserve">חקר השתלבות הארגנטינים-ערבים בצפון-מערב ארגנטינה משלים את תמונת המצב כפי שנחרקה במקומות אחרים במדינה כמו בחבל פטגוניה, כאשר קיימים קווי דמיון ושוני בין שני חבלי ארץ אלו. מבחינה פוליטית וחברתית המקרה הפטגוני מצייר תמונת מצב ייחודית, כאשר עד יוני 1955 המחוזות של חבל הפטגוניה היו במעמד של </w:t>
      </w:r>
      <w:r w:rsidRPr="00206C2B">
        <w:rPr>
          <w:rFonts w:cs="David" w:hint="cs"/>
          <w:i/>
          <w:iCs/>
          <w:sz w:val="24"/>
          <w:szCs w:val="24"/>
          <w:rtl/>
        </w:rPr>
        <w:t>טריטוריה לאומית</w:t>
      </w:r>
      <w:r>
        <w:rPr>
          <w:rFonts w:cs="David" w:hint="cs"/>
          <w:sz w:val="24"/>
          <w:szCs w:val="24"/>
          <w:rtl/>
        </w:rPr>
        <w:t xml:space="preserve">. זאת אומרת, ניהולה היה נתון בידי השלטון הפדרלי בבואנוס איירס הבירה. כתוצאה מכך בטריטוריות הלאומיות לא צמחה אליטה מקומית שהחזיקה בידיה את הכוח הפוליטי. לכן, כוחם של המעמדות המבוססים שנשענו על פעילות חקלאית היה מוגבל בעקבות מרכזיות השלטון הפדרלי בניהול הטריטוריה וגם בשליטה בנכס הכלכלי המרכזי בפטגוניה, הנפט והגז. בהיעדר מסגרת מפלגתית לאומית כלשהי, הפעילות הפוליטית הטריטוריאלית התקיימה במסגרת המקומית של פעילות חברתית בוועדי עיריות או שכונות. באמצעותן המהגרים הערבים וצאצאיהם החלו להשתלב בחיים הפוליטיים בפטגוניה, אך ללא היכולת לפרוץ למסגרות הלאומיות. עם הפיכתן של הטריטוריות הלאומיות של </w:t>
      </w:r>
      <w:r>
        <w:rPr>
          <w:rFonts w:cs="David" w:hint="cs"/>
          <w:sz w:val="24"/>
          <w:szCs w:val="24"/>
          <w:rtl/>
        </w:rPr>
        <w:lastRenderedPageBreak/>
        <w:t xml:space="preserve">חבל הפטגוניה לפרובינציות ביוני 1955, החלו לפרוץ אליה המפלגות הלאומיות, אך בו זמנית התחילו להתהוות מפלגות פרובינציאליות שהפכו להגמוניות באיזור כמו </w:t>
      </w:r>
      <w:r>
        <w:rPr>
          <w:rFonts w:cs="David"/>
          <w:sz w:val="24"/>
          <w:szCs w:val="24"/>
          <w:lang w:val="es-ES"/>
        </w:rPr>
        <w:t>Movimiento Popular Neuquino</w:t>
      </w:r>
      <w:r>
        <w:rPr>
          <w:rFonts w:cs="David" w:hint="cs"/>
          <w:sz w:val="24"/>
          <w:szCs w:val="24"/>
          <w:rtl/>
        </w:rPr>
        <w:t xml:space="preserve"> ובאמצעותה ארגנטינים-ערבים רבים הצליחו להשתלב בממשל הפרובינציאלי ולהגיע לפרלמנט הלאומי בבואנוס איירס. עם זאת, תהליך זה החל לאחר הפלתו של חואן פרון, שלושה חודשים בלבד לאחר אישור חוק הפיכת הטריטוריות הלאומיות לפרובינציות. דהיינו, ההשתלבות של הארגנטינים-ערבים בחבל הפטגוניה בכל תחומי החיים הפוליטיים הייתה מאוחרת יותר מפרובינציות ותיקות כמו אלו בצפון מערב ארגנטינה.</w:t>
      </w:r>
    </w:p>
    <w:p w:rsidR="006475EC" w:rsidRDefault="006475EC" w:rsidP="006475EC">
      <w:pPr>
        <w:spacing w:line="480" w:lineRule="auto"/>
        <w:jc w:val="both"/>
        <w:rPr>
          <w:rFonts w:cs="David"/>
          <w:sz w:val="24"/>
          <w:szCs w:val="24"/>
          <w:rtl/>
        </w:rPr>
      </w:pPr>
    </w:p>
    <w:p w:rsidR="006475EC" w:rsidRDefault="006475EC" w:rsidP="006475EC">
      <w:pPr>
        <w:spacing w:line="480" w:lineRule="auto"/>
        <w:jc w:val="both"/>
        <w:rPr>
          <w:rFonts w:cs="David"/>
          <w:sz w:val="24"/>
          <w:szCs w:val="24"/>
          <w:rtl/>
        </w:rPr>
      </w:pPr>
      <w:r>
        <w:rPr>
          <w:rFonts w:cs="David" w:hint="cs"/>
          <w:sz w:val="24"/>
          <w:szCs w:val="24"/>
          <w:rtl/>
        </w:rPr>
        <w:t>הדיון על ההשתלבות הפוליטית של קבוצות אתניות בארגנטינה באמצעות התנועה הפרוניסטית מחייב לבצע השוואה בין הארגנטינים-ערבים לארגנטינים-יהודים. שתיהן קבוצות לא לטיניות ולא קתוליות שהיו האנטיתזה לזרם ההגירה האידאלי של האליטות הליברליות הארגנטיניות. הסוגיה המרכזית שמבדילה בין שתי הקבוצות היו ההאשמות שהופנו כלפי פרון על היותו נאצי, פשיסטי ואנטישמי. לדידי, סוגיה זו היוותה מכשול במשך השנים לביצוע מחקר אובייקטיבי בכל הנוגע למעורבות הפוליטית של הארגנטינים-יהודים בתנועה הפרוניסטית. לעומת זאת, חקר הארגנטינים-ערבים בפרוניזם לא סבל ממכשול זה. במקרה זה לא עלתה השאלה לגבי יחס שלילי של פרון כלפי הקבוצה האתנית מתוך מניע גזעני או אידיאולוגי מפלה</w:t>
      </w:r>
      <w:r>
        <w:rPr>
          <w:rStyle w:val="a5"/>
          <w:rFonts w:cs="David"/>
          <w:sz w:val="24"/>
          <w:szCs w:val="24"/>
          <w:rtl/>
        </w:rPr>
        <w:footnoteReference w:id="2"/>
      </w:r>
      <w:r>
        <w:rPr>
          <w:rFonts w:cs="David" w:hint="cs"/>
          <w:sz w:val="24"/>
          <w:szCs w:val="24"/>
          <w:rtl/>
        </w:rPr>
        <w:t xml:space="preserve">.  </w:t>
      </w:r>
    </w:p>
    <w:p w:rsidR="006475EC" w:rsidRDefault="006475EC" w:rsidP="006475EC">
      <w:pPr>
        <w:spacing w:line="480" w:lineRule="auto"/>
        <w:jc w:val="both"/>
        <w:rPr>
          <w:rFonts w:cs="David"/>
          <w:sz w:val="24"/>
          <w:szCs w:val="24"/>
          <w:rtl/>
        </w:rPr>
      </w:pPr>
      <w:r>
        <w:rPr>
          <w:rFonts w:cs="David" w:hint="cs"/>
          <w:sz w:val="24"/>
          <w:szCs w:val="24"/>
          <w:rtl/>
        </w:rPr>
        <w:t>יהודים רבים בסוף שנות הארבעים ותחילת החמישים התקבלו בבירוקרטיה הממשלתית והצליחו להתקדם לעמדות חשובות במידה ניכרת לעומת תקופות קודמות. בדומה ליהודים, גם מזרח תיכוניים רבים התקבלו לדרגות גבוהות במערכת הפוליטית. ההבדל בין הקבוצות נבע מכוחם של הארגנטינים-ערבים בפרובינציות ויכולתם להיבחר למשרות כמו מושלים או שרים בממשלות הפרובינציאליות. לעומת הערבים שהתרחקו מהשתתפות בתנועת הפועלים, ניתן למצוא מנהיגי פועלים יהודים רבים בתוך התנועה הפרוניסטית</w:t>
      </w:r>
      <w:r>
        <w:rPr>
          <w:rStyle w:val="a5"/>
          <w:rFonts w:cs="David"/>
          <w:sz w:val="24"/>
          <w:szCs w:val="24"/>
          <w:rtl/>
        </w:rPr>
        <w:footnoteReference w:id="3"/>
      </w:r>
      <w:r>
        <w:rPr>
          <w:rFonts w:cs="David" w:hint="cs"/>
          <w:sz w:val="24"/>
          <w:szCs w:val="24"/>
          <w:rtl/>
        </w:rPr>
        <w:t xml:space="preserve">. כמו הקהילה היהודית שהתאפיינה בעמדה הטרוגנית  בכל הנוגע לנושאים פוליטיים, חברתיים, כלכליים ותרבותיים, גם הקהילה הערבית הפגינה הטרוגניות בתחום הפוליטי, כאשר חלק מחבריה היו פעילים במפלגות שהתנגדו לפרוניזם. לעומת זאת, העיתונות האתנית במהלך הפרוניזם התאפיינה בתמיכה ואהדה כלפי המדיניות הפרוניסטית בכל תחומיה. ערבים ויהודים לא מעטים תמכו בפרוניזם מאז הקמתו, אך מספרם הלך וגדל ככל שהתנועה הפופוליסטית התבססה בשלטון, במיוחד לאחר בחירתו מחדש של פרון </w:t>
      </w:r>
      <w:r>
        <w:rPr>
          <w:rFonts w:cs="David" w:hint="cs"/>
          <w:sz w:val="24"/>
          <w:szCs w:val="24"/>
          <w:rtl/>
        </w:rPr>
        <w:lastRenderedPageBreak/>
        <w:t>ב-1951. יתר על כן, באותן שנים, יהודים וערבים הבינו שהפרוניזם אינו תופעה חולפת ושמדיניותו משפיעה לטובם מבחינה חברתית וכלכלית. הפרוניזם לא רק פנה אל תנועת הפועלים המאורגנת, אלא גם אל התעשיינים החדשים והאליטות הסוחרות הפרובינציאליות. בקרב קבוצות אלו היו אנשי עסקים ותעשיינים יהודים וערבים רבים שנהנו מהמדיניות הכלכלית הפרוניסטית, ששמרה על התעשייה הלאומית.</w:t>
      </w:r>
    </w:p>
    <w:p w:rsidR="00921EF3" w:rsidRDefault="006475EC" w:rsidP="006475EC">
      <w:pPr>
        <w:spacing w:line="480" w:lineRule="auto"/>
        <w:jc w:val="both"/>
        <w:rPr>
          <w:rtl/>
        </w:rPr>
      </w:pPr>
      <w:r>
        <w:rPr>
          <w:rFonts w:cs="David" w:hint="cs"/>
          <w:sz w:val="24"/>
          <w:szCs w:val="24"/>
          <w:rtl/>
        </w:rPr>
        <w:t xml:space="preserve">נקודת התייחסות נוספת חשובה הינה הקמת ארגון גג אתני פרוניסטי. במקרה היהודי הייתה הצלחה בתחום זה, כאשר נוסד הארגון היהודי הארגנטיני </w:t>
      </w:r>
      <w:r>
        <w:rPr>
          <w:rFonts w:cs="David"/>
          <w:sz w:val="24"/>
          <w:szCs w:val="24"/>
          <w:lang w:val="es-ES"/>
        </w:rPr>
        <w:t>(OIA)</w:t>
      </w:r>
      <w:r>
        <w:rPr>
          <w:rFonts w:cs="David" w:hint="cs"/>
          <w:sz w:val="24"/>
          <w:szCs w:val="24"/>
          <w:rtl/>
        </w:rPr>
        <w:t xml:space="preserve"> בעל אידיאולוגיה פרוניסטית. לעומת זאת, הארגנטינים-ערבים לא הצליחו להקים ארגן גג אתני פרוניסטי (בכלל רק בשנות השבעים של המאה העשרים הוקם ארגון הגג הערבי הראשון, </w:t>
      </w:r>
      <w:r>
        <w:rPr>
          <w:rFonts w:cs="David"/>
          <w:sz w:val="24"/>
          <w:szCs w:val="24"/>
          <w:lang w:val="es-ES"/>
        </w:rPr>
        <w:t>FEARAB</w:t>
      </w:r>
      <w:r>
        <w:rPr>
          <w:rFonts w:cs="David" w:hint="cs"/>
          <w:sz w:val="24"/>
          <w:szCs w:val="24"/>
          <w:rtl/>
        </w:rPr>
        <w:t>), אך במהלך העשור הפרוניסטי נוסדו ארגונים שונים של ארגנטינים-ערבים שתמכו במדיניותו של פרון בתחומים מסויימים כמו הכלכלה או בתנועתו במהלך מערכות הבחירות. הקשרים בין הממשלה הארגנטינית לבין מדינת ישראל במהלך שלטונו של פרון היו מאוד טובים. למרות שארגנטינה נמנעה בהצבעת האו"ם על חלוקת ארץ ישראל והקמת המדינה היהודית, היא הייתה המדינה הלטינו-אמריקאית הראשונה שהקימה שגרירות בישראל ואשר חתמה על הסכם סחר עם ישראל</w:t>
      </w:r>
      <w:r>
        <w:rPr>
          <w:rStyle w:val="a5"/>
          <w:rFonts w:cs="David"/>
          <w:sz w:val="24"/>
          <w:szCs w:val="24"/>
          <w:rtl/>
        </w:rPr>
        <w:footnoteReference w:id="4"/>
      </w:r>
      <w:r>
        <w:rPr>
          <w:rFonts w:cs="David" w:hint="cs"/>
          <w:sz w:val="24"/>
          <w:szCs w:val="24"/>
          <w:rtl/>
        </w:rPr>
        <w:t>. גישה דומה נקט פרון בכל הנוגע לארצות האם של הארגנטינים-ערבים, כאשר מיד עם עצמאותן של סוריה ולבנון, הנשיא הארגנטיני כונן יחסים דיפלומטיים עם המדינות החדשות, קיבל באופן אישי את השגרירים, השרים והנשיאים של מדינות ערב, בדרך כלל בהשתתפות נכבדי הקהילה הערבית בארגנטינה. גישה דומה כלפי ארצות האם של המהגרים המזרח תיכוניים ניכרת גם בקרב פוליטיקאים פרוניסטים כמו מושלים ומחוקקים. אם כן, חואן פרון היה הנשיא הארגנטיני הראשון שנתן לגיטימציה לפסיפס הזהויות של הקבוצות האתניות בארגנטינה. הוא לא ראה אי התאמה בין היותך ארגנטיני טוב, יהודי טוב ותומך בציונות או מדינת ישראל</w:t>
      </w:r>
      <w:r>
        <w:rPr>
          <w:rStyle w:val="a5"/>
          <w:rFonts w:cs="David"/>
          <w:sz w:val="24"/>
          <w:szCs w:val="24"/>
          <w:rtl/>
        </w:rPr>
        <w:footnoteReference w:id="5"/>
      </w:r>
      <w:r>
        <w:rPr>
          <w:rFonts w:cs="David" w:hint="cs"/>
          <w:sz w:val="24"/>
          <w:szCs w:val="24"/>
          <w:rtl/>
        </w:rPr>
        <w:t>. כמו כן, פרון גם לא ראה אי התאמה בין היותך ארגנטיני טוב, ערבי טוב, ותומך במדינות ערב; להיפך הוא עודד המשכיות של הקשר הטרנס-לאומי, תוך ניצולו לטובת פיתוח מדיניות החוץ והסחר הארגנטיני.</w:t>
      </w:r>
    </w:p>
    <w:sectPr w:rsidR="00921EF3" w:rsidSect="00C56F42">
      <w:footerReference w:type="default" r:id="rId6"/>
      <w:headerReference w:type="firs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BE6" w:rsidRDefault="00293BE6" w:rsidP="006475EC">
      <w:r>
        <w:separator/>
      </w:r>
    </w:p>
  </w:endnote>
  <w:endnote w:type="continuationSeparator" w:id="0">
    <w:p w:rsidR="00293BE6" w:rsidRDefault="00293BE6" w:rsidP="0064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71568136"/>
      <w:docPartObj>
        <w:docPartGallery w:val="Page Numbers (Bottom of Page)"/>
        <w:docPartUnique/>
      </w:docPartObj>
    </w:sdtPr>
    <w:sdtEndPr>
      <w:rPr>
        <w:noProof/>
      </w:rPr>
    </w:sdtEndPr>
    <w:sdtContent>
      <w:p w:rsidR="006475EC" w:rsidRDefault="006475EC">
        <w:pPr>
          <w:pStyle w:val="a8"/>
          <w:jc w:val="center"/>
        </w:pPr>
        <w:r>
          <w:fldChar w:fldCharType="begin"/>
        </w:r>
        <w:r w:rsidRPr="00BF6A1B">
          <w:instrText xml:space="preserve"> PAGE   \* MERGEFORMAT </w:instrText>
        </w:r>
        <w:r>
          <w:fldChar w:fldCharType="separate"/>
        </w:r>
        <w:r w:rsidR="00155511">
          <w:rPr>
            <w:noProof/>
            <w:rtl/>
          </w:rPr>
          <w:t>1</w:t>
        </w:r>
        <w:r>
          <w:rPr>
            <w:noProof/>
          </w:rPr>
          <w:fldChar w:fldCharType="end"/>
        </w:r>
      </w:p>
    </w:sdtContent>
  </w:sdt>
  <w:p w:rsidR="006475EC" w:rsidRDefault="006475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BE6" w:rsidRDefault="00293BE6" w:rsidP="006475EC">
      <w:r>
        <w:separator/>
      </w:r>
    </w:p>
  </w:footnote>
  <w:footnote w:type="continuationSeparator" w:id="0">
    <w:p w:rsidR="00293BE6" w:rsidRDefault="00293BE6" w:rsidP="006475EC">
      <w:r>
        <w:continuationSeparator/>
      </w:r>
    </w:p>
  </w:footnote>
  <w:footnote w:id="1">
    <w:p w:rsidR="006475EC" w:rsidRDefault="006475EC" w:rsidP="006475EC">
      <w:pPr>
        <w:pStyle w:val="a3"/>
        <w:bidi w:val="0"/>
        <w:jc w:val="both"/>
      </w:pPr>
      <w:r>
        <w:rPr>
          <w:rStyle w:val="a5"/>
        </w:rPr>
        <w:footnoteRef/>
      </w:r>
      <w:r>
        <w:rPr>
          <w:rtl/>
        </w:rPr>
        <w:t xml:space="preserve"> </w:t>
      </w:r>
      <w:r>
        <w:rPr>
          <w:rtl/>
        </w:rPr>
        <w:fldChar w:fldCharType="begin" w:fldLock="1"/>
      </w:r>
      <w:r>
        <w:instrText>ADDIN CSL_CITATION { "citationItems" : [ { "id" : "ITEM-1", "itemData" : { "author" : [ { "dropping-particle" : "", "family" : "Civantos", "given" : "Christina", "non-dropping-particle" : "", "parse-names" : false, "suffix" : "" } ], "id" : "ITEM-1", "issued" : { "date-parts" : [ [ "2006" ] ] }, "publisher" : "SUNY Press", "title" : "Between Argentines And Arabs: Argentine Orientalism, Arab Immigrants, And The Writing Of Identity", "type" : "book" }, "locator" : "15", "uris" : [ "http://www.mendeley.com/documents/?uuid=2b7be20c-8078-4bb2-9959-05073ec5275c" ] } ], "mendeley" : { "previouslyFormattedCitation" : "Christina Civantos, &lt;i&gt;Between Argentines And Arabs: Argentine Orientalism, Arab Immigrants, And The Writing Of Identity&lt;/i&gt; (SUNY Press, 2006), p. 15." }, "properties" : { "noteIndex" : 0 }, "schema" : "https://github.com/citation-style-language/schema/raw/master/csl-citation.json" }</w:instrText>
      </w:r>
      <w:r>
        <w:rPr>
          <w:rtl/>
        </w:rPr>
        <w:fldChar w:fldCharType="separate"/>
      </w:r>
      <w:r>
        <w:rPr>
          <w:noProof/>
        </w:rPr>
        <w:t xml:space="preserve">Christina Civantos, </w:t>
      </w:r>
      <w:r>
        <w:rPr>
          <w:i/>
          <w:noProof/>
        </w:rPr>
        <w:t>Between Argentines And Arabs: Argentine Orientalism, Arab Immigrants, And The Writing Of Identity</w:t>
      </w:r>
      <w:r>
        <w:rPr>
          <w:noProof/>
        </w:rPr>
        <w:t xml:space="preserve"> (SUNY Press, 2006), p. 15.</w:t>
      </w:r>
      <w:r>
        <w:rPr>
          <w:rtl/>
        </w:rPr>
        <w:fldChar w:fldCharType="end"/>
      </w:r>
      <w:r>
        <w:t xml:space="preserve">  </w:t>
      </w:r>
    </w:p>
  </w:footnote>
  <w:footnote w:id="2">
    <w:p w:rsidR="006475EC" w:rsidRDefault="006475EC" w:rsidP="006475EC">
      <w:pPr>
        <w:pStyle w:val="a3"/>
        <w:bidi w:val="0"/>
      </w:pPr>
      <w:r>
        <w:rPr>
          <w:rStyle w:val="a5"/>
        </w:rPr>
        <w:footnoteRef/>
      </w:r>
      <w:r>
        <w:rPr>
          <w:rtl/>
        </w:rPr>
        <w:t xml:space="preserve"> </w:t>
      </w:r>
      <w:r>
        <w:fldChar w:fldCharType="begin" w:fldLock="1"/>
      </w:r>
      <w:r>
        <w:instrText>ADDIN CSL_CITATION { "citationItems" : [ { "id" : "ITEM-1", "itemData" : { "author" : [ { "dropping-particle" : "", "family" : "Rein", "given" : "Raanan", "non-dropping-particle" : "", "parse-names" : false, "suffix" : "" } ], "id" : "ITEM-1", "issued" : { "date-parts" : [ [ "2016" ] ] }, "publisher" : "Sudamericana", "publisher-place" : "Buenos Aires", "title" : "Los Muchachos Peronistas Judios: Los argentinos judios y el apoyo als justicialismo", "type" : "book" }, "locator" : "10-11", "uris" : [ "http://www.mendeley.com/documents/?uuid=0f1dc098-de72-482a-a7ff-3c8c68dea6b5" ] } ], "mendeley" : { "formattedCitation" : "Raanan Rein, &lt;i&gt;Los Muchachos Peronistas Judios: Los Argentinos Judios Y El Apoyo Als Justicialismo&lt;/i&gt; (Buenos Aires: Sudamericana, 2016), 10\u201311.", "plainTextFormattedCitation" : "Raanan Rein, Los Muchachos Peronistas Judios: Los Argentinos Judios Y El Apoyo Als Justicialismo (Buenos Aires: Sudamericana, 2016), 10\u201311.", "previouslyFormattedCitation" : "Raanan Rein, &lt;i&gt;Los Muchachos Peronistas Judios: Los Argentinos Judios Y El Apoyo Als Justicialismo&lt;/i&gt; (Buenos Aires: Sudamericana, 2016), 10\u201311." }, "properties" : { "noteIndex" : 0 }, "schema" : "https://github.com/citation-style-language/schema/raw/master/csl-citation.json" }</w:instrText>
      </w:r>
      <w:r>
        <w:fldChar w:fldCharType="separate"/>
      </w:r>
      <w:r w:rsidRPr="00A96B55">
        <w:rPr>
          <w:noProof/>
        </w:rPr>
        <w:t xml:space="preserve">Raanan Rein, </w:t>
      </w:r>
      <w:r w:rsidRPr="00A96B55">
        <w:rPr>
          <w:i/>
          <w:noProof/>
        </w:rPr>
        <w:t>Los muchachos peronistas judios: Los argentinos judios y el apoyo al justicialismo</w:t>
      </w:r>
      <w:r w:rsidRPr="00A96B55">
        <w:rPr>
          <w:noProof/>
        </w:rPr>
        <w:t xml:space="preserve"> (Buenos Aires: Sudamericana, 2016), 10–11.</w:t>
      </w:r>
      <w:r>
        <w:fldChar w:fldCharType="end"/>
      </w:r>
    </w:p>
  </w:footnote>
  <w:footnote w:id="3">
    <w:p w:rsidR="006475EC" w:rsidRDefault="006475EC" w:rsidP="006475EC">
      <w:pPr>
        <w:pStyle w:val="a3"/>
        <w:bidi w:val="0"/>
      </w:pPr>
      <w:r>
        <w:rPr>
          <w:rStyle w:val="a5"/>
        </w:rPr>
        <w:footnoteRef/>
      </w:r>
      <w:r>
        <w:rPr>
          <w:rtl/>
        </w:rPr>
        <w:t xml:space="preserve"> </w:t>
      </w:r>
      <w:r>
        <w:fldChar w:fldCharType="begin" w:fldLock="1"/>
      </w:r>
      <w:r>
        <w:instrText>ADDIN CSL_CITATION { "citationItems" : [ { "id" : "ITEM-1", "itemData" : { "author" : [ { "dropping-particle" : "", "family" : "Rein", "given" : "Raanan", "non-dropping-particle" : "", "parse-names" : false, "suffix" : "" } ], "id" : "ITEM-1", "issued" : { "date-parts" : [ [ "2016" ] ] }, "publisher" : "Sudamericana", "publisher-place" : "Buenos Aires", "title" : "Los Muchachos Peronistas Judios: Los argentinos judios y el apoyo als justicialismo", "type" : "book" }, "locator" : "17", "uris" : [ "http://www.mendeley.com/documents/?uuid=0f1dc098-de72-482a-a7ff-3c8c68dea6b5" ] } ], "mendeley" : { "formattedCitation" : "Ibid., 17.", "plainTextFormattedCitation" : "Ibid., 17.", "previouslyFormattedCitation" : "Ibid., 17." }, "properties" : { "noteIndex" : 0 }, "schema" : "https://github.com/citation-style-language/schema/raw/master/csl-citation.json" }</w:instrText>
      </w:r>
      <w:r>
        <w:fldChar w:fldCharType="separate"/>
      </w:r>
      <w:r w:rsidRPr="00FB1182">
        <w:rPr>
          <w:noProof/>
        </w:rPr>
        <w:t>Ibid., 17.</w:t>
      </w:r>
      <w:r>
        <w:fldChar w:fldCharType="end"/>
      </w:r>
    </w:p>
  </w:footnote>
  <w:footnote w:id="4">
    <w:p w:rsidR="006475EC" w:rsidRDefault="006475EC" w:rsidP="006475EC">
      <w:pPr>
        <w:pStyle w:val="a3"/>
        <w:bidi w:val="0"/>
      </w:pPr>
      <w:r>
        <w:rPr>
          <w:rStyle w:val="a5"/>
        </w:rPr>
        <w:footnoteRef/>
      </w:r>
      <w:r>
        <w:rPr>
          <w:rtl/>
        </w:rPr>
        <w:t xml:space="preserve"> </w:t>
      </w:r>
      <w:r>
        <w:fldChar w:fldCharType="begin" w:fldLock="1"/>
      </w:r>
      <w:r>
        <w:instrText>ADDIN CSL_CITATION { "citationItems" : [ { "id" : "ITEM-1", "itemData" : { "author" : [ { "dropping-particle" : "", "family" : "Rein", "given" : "Raanan", "non-dropping-particle" : "", "parse-names" : false, "suffix" : "" } ], "id" : "ITEM-1", "issued" : { "date-parts" : [ [ "2016" ] ] }, "publisher" : "Sudamericana", "publisher-place" : "Buenos Aires", "title" : "Los Muchachos Peronistas Judios: Los argentinos judios y el apoyo als justicialismo", "type" : "book" }, "locator" : "13", "uris" : [ "http://www.mendeley.com/documents/?uuid=0f1dc098-de72-482a-a7ff-3c8c68dea6b5" ] } ], "mendeley" : { "formattedCitation" : "Ibid., 13.", "plainTextFormattedCitation" : "Ibid., 13.", "previouslyFormattedCitation" : "Ibid., 13." }, "properties" : { "noteIndex" : 0 }, "schema" : "https://github.com/citation-style-language/schema/raw/master/csl-citation.json" }</w:instrText>
      </w:r>
      <w:r>
        <w:fldChar w:fldCharType="separate"/>
      </w:r>
      <w:r w:rsidRPr="008443D8">
        <w:rPr>
          <w:noProof/>
        </w:rPr>
        <w:t>Ibid., 13.</w:t>
      </w:r>
      <w:r>
        <w:fldChar w:fldCharType="end"/>
      </w:r>
    </w:p>
  </w:footnote>
  <w:footnote w:id="5">
    <w:p w:rsidR="006475EC" w:rsidRDefault="006475EC" w:rsidP="006475EC">
      <w:pPr>
        <w:pStyle w:val="a3"/>
        <w:bidi w:val="0"/>
      </w:pPr>
      <w:r>
        <w:rPr>
          <w:rStyle w:val="a5"/>
        </w:rPr>
        <w:footnoteRef/>
      </w:r>
      <w:r>
        <w:rPr>
          <w:rtl/>
        </w:rPr>
        <w:t xml:space="preserve"> </w:t>
      </w:r>
      <w:r>
        <w:fldChar w:fldCharType="begin" w:fldLock="1"/>
      </w:r>
      <w:r>
        <w:instrText>ADDIN CSL_CITATION { "citationItems" : [ { "id" : "ITEM-1", "itemData" : { "author" : [ { "dropping-particle" : "", "family" : "Rein", "given" : "Raanan", "non-dropping-particle" : "", "parse-names" : false, "suffix" : "" } ], "id" : "ITEM-1", "issued" : { "date-parts" : [ [ "2016" ] ] }, "publisher" : "Sudamericana", "publisher-place" : "Buenos Aires", "title" : "Los Muchachos Peronistas Judios: Los argentinos judios y el apoyo als justicialismo", "type" : "book" }, "locator" : "13", "uris" : [ "http://www.mendeley.com/documents/?uuid=0f1dc098-de72-482a-a7ff-3c8c68dea6b5" ] } ], "mendeley" : { "formattedCitation" : "Ibid.", "plainTextFormattedCitation" : "Ibid.", "previouslyFormattedCitation" : "Ibid." }, "properties" : { "noteIndex" : 0 }, "schema" : "https://github.com/citation-style-language/schema/raw/master/csl-citation.json" }</w:instrText>
      </w:r>
      <w:r>
        <w:fldChar w:fldCharType="separate"/>
      </w:r>
      <w:r w:rsidRPr="003F34BA">
        <w:rPr>
          <w:noProof/>
        </w:rPr>
        <w:t>Ibid.</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5EC" w:rsidRDefault="006475E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75EC"/>
    <w:rsid w:val="00077C7A"/>
    <w:rsid w:val="000E6DE4"/>
    <w:rsid w:val="00155511"/>
    <w:rsid w:val="00293BE6"/>
    <w:rsid w:val="002E4A1F"/>
    <w:rsid w:val="006475EC"/>
    <w:rsid w:val="00921EF3"/>
    <w:rsid w:val="00C56F42"/>
    <w:rsid w:val="00F661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BC357-4AB8-422A-99D0-59D3AA5A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5EC"/>
    <w:pPr>
      <w:bidi/>
      <w:spacing w:after="0" w:line="240" w:lineRule="auto"/>
    </w:pPr>
    <w:rPr>
      <w:rFonts w:ascii="Times New Roman" w:eastAsia="MS Mincho"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475EC"/>
  </w:style>
  <w:style w:type="character" w:customStyle="1" w:styleId="a4">
    <w:name w:val="טקסט הערת שוליים תו"/>
    <w:basedOn w:val="a0"/>
    <w:link w:val="a3"/>
    <w:uiPriority w:val="99"/>
    <w:rsid w:val="006475EC"/>
    <w:rPr>
      <w:rFonts w:ascii="Times New Roman" w:eastAsia="MS Mincho" w:hAnsi="Times New Roman" w:cs="Times New Roman"/>
      <w:sz w:val="20"/>
      <w:szCs w:val="20"/>
    </w:rPr>
  </w:style>
  <w:style w:type="character" w:styleId="a5">
    <w:name w:val="footnote reference"/>
    <w:basedOn w:val="a0"/>
    <w:uiPriority w:val="99"/>
    <w:semiHidden/>
    <w:unhideWhenUsed/>
    <w:rsid w:val="006475EC"/>
    <w:rPr>
      <w:vertAlign w:val="superscript"/>
    </w:rPr>
  </w:style>
  <w:style w:type="paragraph" w:styleId="a6">
    <w:name w:val="header"/>
    <w:basedOn w:val="a"/>
    <w:link w:val="a7"/>
    <w:uiPriority w:val="99"/>
    <w:unhideWhenUsed/>
    <w:rsid w:val="006475EC"/>
    <w:pPr>
      <w:tabs>
        <w:tab w:val="center" w:pos="4153"/>
        <w:tab w:val="right" w:pos="8306"/>
      </w:tabs>
    </w:pPr>
  </w:style>
  <w:style w:type="character" w:customStyle="1" w:styleId="a7">
    <w:name w:val="כותרת עליונה תו"/>
    <w:basedOn w:val="a0"/>
    <w:link w:val="a6"/>
    <w:uiPriority w:val="99"/>
    <w:rsid w:val="006475EC"/>
    <w:rPr>
      <w:rFonts w:ascii="Times New Roman" w:eastAsia="MS Mincho" w:hAnsi="Times New Roman" w:cs="Times New Roman"/>
      <w:sz w:val="20"/>
      <w:szCs w:val="20"/>
    </w:rPr>
  </w:style>
  <w:style w:type="paragraph" w:styleId="a8">
    <w:name w:val="footer"/>
    <w:basedOn w:val="a"/>
    <w:link w:val="a9"/>
    <w:uiPriority w:val="99"/>
    <w:unhideWhenUsed/>
    <w:rsid w:val="006475EC"/>
    <w:pPr>
      <w:tabs>
        <w:tab w:val="center" w:pos="4153"/>
        <w:tab w:val="right" w:pos="8306"/>
      </w:tabs>
    </w:pPr>
  </w:style>
  <w:style w:type="character" w:customStyle="1" w:styleId="a9">
    <w:name w:val="כותרת תחתונה תו"/>
    <w:basedOn w:val="a0"/>
    <w:link w:val="a8"/>
    <w:uiPriority w:val="99"/>
    <w:rsid w:val="006475EC"/>
    <w:rPr>
      <w:rFonts w:ascii="Times New Roman" w:eastAsia="MS Mincho" w:hAnsi="Times New Roman" w:cs="Times New Roman"/>
      <w:sz w:val="20"/>
      <w:szCs w:val="20"/>
    </w:rPr>
  </w:style>
  <w:style w:type="character" w:styleId="aa">
    <w:name w:val="Strong"/>
    <w:basedOn w:val="a0"/>
    <w:uiPriority w:val="22"/>
    <w:qFormat/>
    <w:rsid w:val="00155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8437</Characters>
  <Application>Microsoft Office Word</Application>
  <DocSecurity>0</DocSecurity>
  <Lines>70</Lines>
  <Paragraphs>20</Paragraphs>
  <ScaleCrop>false</ScaleCrop>
  <Company/>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USER</cp:lastModifiedBy>
  <cp:revision>2</cp:revision>
  <dcterms:created xsi:type="dcterms:W3CDTF">2016-09-28T17:38:00Z</dcterms:created>
  <dcterms:modified xsi:type="dcterms:W3CDTF">2017-07-17T10:07:00Z</dcterms:modified>
</cp:coreProperties>
</file>