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9A" w:rsidRPr="00874E40" w:rsidRDefault="008D279A" w:rsidP="008D279A">
      <w:pPr>
        <w:bidi/>
        <w:jc w:val="center"/>
        <w:rPr>
          <w:rFonts w:ascii="Times New Roman" w:hAnsi="Times New Roman" w:cs="David"/>
          <w:b/>
          <w:bCs/>
          <w:sz w:val="44"/>
          <w:szCs w:val="44"/>
          <w:rtl/>
        </w:rPr>
      </w:pPr>
      <w:r w:rsidRPr="00874E40">
        <w:rPr>
          <w:rFonts w:ascii="Times New Roman" w:hAnsi="Times New Roman" w:cs="David"/>
          <w:b/>
          <w:bCs/>
          <w:sz w:val="44"/>
          <w:szCs w:val="44"/>
          <w:rtl/>
        </w:rPr>
        <w:t xml:space="preserve">אינדוקטרינציה וסוציאליזציה של </w:t>
      </w:r>
      <w:proofErr w:type="spellStart"/>
      <w:r w:rsidRPr="00874E40">
        <w:rPr>
          <w:rFonts w:ascii="Times New Roman" w:hAnsi="Times New Roman" w:cs="David"/>
          <w:b/>
          <w:bCs/>
          <w:sz w:val="44"/>
          <w:szCs w:val="44"/>
          <w:rtl/>
        </w:rPr>
        <w:t>אתאטורקיזם</w:t>
      </w:r>
      <w:proofErr w:type="spellEnd"/>
      <w:r w:rsidRPr="00874E40">
        <w:rPr>
          <w:rFonts w:ascii="Times New Roman" w:hAnsi="Times New Roman" w:cs="David"/>
          <w:b/>
          <w:bCs/>
          <w:sz w:val="44"/>
          <w:szCs w:val="44"/>
          <w:rtl/>
        </w:rPr>
        <w:t xml:space="preserve"> במערכת החינוך ובספרי לימוד טורקיים 1980-2002</w:t>
      </w:r>
    </w:p>
    <w:p w:rsidR="008D279A" w:rsidRPr="00874E40" w:rsidRDefault="008D279A" w:rsidP="008D279A">
      <w:pPr>
        <w:bidi/>
        <w:jc w:val="center"/>
        <w:rPr>
          <w:rFonts w:cs="David"/>
          <w:sz w:val="36"/>
          <w:szCs w:val="36"/>
        </w:rPr>
      </w:pPr>
      <w:r w:rsidRPr="00874E40">
        <w:rPr>
          <w:rFonts w:cs="David"/>
          <w:sz w:val="36"/>
          <w:szCs w:val="36"/>
          <w:rtl/>
        </w:rPr>
        <w:t xml:space="preserve">חי איתן כהן </w:t>
      </w:r>
      <w:proofErr w:type="spellStart"/>
      <w:r w:rsidRPr="00874E40">
        <w:rPr>
          <w:rFonts w:cs="David"/>
          <w:sz w:val="36"/>
          <w:szCs w:val="36"/>
          <w:rtl/>
        </w:rPr>
        <w:t>ינרוג'ק</w:t>
      </w:r>
      <w:proofErr w:type="spellEnd"/>
    </w:p>
    <w:p w:rsidR="008D279A" w:rsidRDefault="008D279A" w:rsidP="008D279A">
      <w:pPr>
        <w:bidi/>
        <w:spacing w:after="240" w:line="360" w:lineRule="auto"/>
        <w:jc w:val="center"/>
        <w:rPr>
          <w:rFonts w:ascii="David" w:hAnsi="David" w:cs="David"/>
          <w:b/>
          <w:bCs/>
          <w:sz w:val="28"/>
          <w:szCs w:val="28"/>
          <w:u w:val="single"/>
          <w:rtl/>
        </w:rPr>
      </w:pPr>
    </w:p>
    <w:p w:rsidR="008D279A" w:rsidRPr="00B32193" w:rsidRDefault="008D279A" w:rsidP="008D279A">
      <w:pPr>
        <w:bidi/>
        <w:spacing w:after="240" w:line="360" w:lineRule="auto"/>
        <w:jc w:val="center"/>
        <w:rPr>
          <w:rFonts w:ascii="David" w:hAnsi="David" w:cs="David"/>
          <w:b/>
          <w:bCs/>
          <w:sz w:val="28"/>
          <w:szCs w:val="28"/>
          <w:u w:val="single"/>
          <w:rtl/>
        </w:rPr>
      </w:pPr>
      <w:r w:rsidRPr="00B32193">
        <w:rPr>
          <w:rFonts w:ascii="David" w:hAnsi="David" w:cs="David"/>
          <w:b/>
          <w:bCs/>
          <w:sz w:val="28"/>
          <w:szCs w:val="28"/>
          <w:u w:val="single"/>
          <w:rtl/>
        </w:rPr>
        <w:t>תקציר</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משהובנה יכולת הלימוד ההמוני כדרך להקניית ערכים, החלו מערכות החינוך הלאומיות בכלל, וספרי הלימוד בבתי הספר בפרט, לתפקד כמכשיר עיקרי לשליטה אידיאולוגית במדינות הלאום. בעוד שאירופה הקונטיננטלית הכירה בעובדה זו בשנת 1753, יצרו </w:t>
      </w:r>
      <w:proofErr w:type="spellStart"/>
      <w:r w:rsidRPr="00B32193">
        <w:rPr>
          <w:rFonts w:ascii="David" w:hAnsi="David" w:cs="David"/>
          <w:sz w:val="24"/>
          <w:szCs w:val="24"/>
          <w:rtl/>
        </w:rPr>
        <w:t>העות'מאנים</w:t>
      </w:r>
      <w:proofErr w:type="spellEnd"/>
      <w:r w:rsidRPr="00B32193">
        <w:rPr>
          <w:rFonts w:ascii="David" w:hAnsi="David" w:cs="David"/>
          <w:sz w:val="24"/>
          <w:szCs w:val="24"/>
          <w:rtl/>
        </w:rPr>
        <w:t xml:space="preserve"> את מערכת החינוך שלהם רק בשנת 1869. אולם, עם ייסודה של טורקיה המודרנית, היה צורך לשנות את מערכת החינוך הרב לאומית עם בסיסה הדואלי שחציו חילוני וחציו דתי.</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כצעד שאפתני לקראת יצירת "האדם הטורקי החדש", עברו מערכת החינוך וספרי הלימוד שינוי מהפכני. למעשה, גם אם לא מדובר בשינויים קיצוניים כמו בימי המעבר מהאימפריה לטורקיה </w:t>
      </w:r>
      <w:proofErr w:type="spellStart"/>
      <w:r w:rsidRPr="00B32193">
        <w:rPr>
          <w:rFonts w:ascii="David" w:hAnsi="David" w:cs="David"/>
          <w:sz w:val="24"/>
          <w:szCs w:val="24"/>
          <w:rtl/>
        </w:rPr>
        <w:t>הכמאליסטית</w:t>
      </w:r>
      <w:proofErr w:type="spellEnd"/>
      <w:r w:rsidRPr="00B32193">
        <w:rPr>
          <w:rFonts w:ascii="David" w:hAnsi="David" w:cs="David"/>
          <w:sz w:val="24"/>
          <w:szCs w:val="24"/>
          <w:rtl/>
        </w:rPr>
        <w:t>, ביצוע שינויים בספרי הלימוד נשאר כמסורת פוליטית שבה משתמש כל שחקן בר השפעה במסגרת התרבות הפוליטית של טורקיה המודרנית.</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באופן דומה, כל שחקן משמעותי במערכת ביקש להשפיע על רוחה של המדינה על ידי שכתוב ספרי הלימוד של בתי הספר ועיצב מחדש של מערכת החינוך הממלכתית. מבחינה זו, ניתן לציין את התקופה שבה שלטה מפלגה בודדת (1923-1950), תקופת ממשלת המפלגה הדמוקרטית של </w:t>
      </w:r>
      <w:proofErr w:type="spellStart"/>
      <w:r w:rsidRPr="00B32193">
        <w:rPr>
          <w:rFonts w:ascii="David" w:hAnsi="David" w:cs="David"/>
          <w:sz w:val="24"/>
          <w:szCs w:val="24"/>
          <w:rtl/>
        </w:rPr>
        <w:t>מנדרס</w:t>
      </w:r>
      <w:proofErr w:type="spellEnd"/>
      <w:r w:rsidRPr="00B32193">
        <w:rPr>
          <w:rFonts w:ascii="David" w:hAnsi="David" w:cs="David"/>
          <w:sz w:val="24"/>
          <w:szCs w:val="24"/>
          <w:rtl/>
        </w:rPr>
        <w:t xml:space="preserve"> (1950-1960), הגנרלים של מהפכת 1960 וממשלות יורשיהם (1960-1980), הממשלות </w:t>
      </w:r>
      <w:proofErr w:type="spellStart"/>
      <w:r w:rsidRPr="00B32193">
        <w:rPr>
          <w:rFonts w:ascii="David" w:hAnsi="David" w:cs="David"/>
          <w:sz w:val="24"/>
          <w:szCs w:val="24"/>
          <w:rtl/>
        </w:rPr>
        <w:t>האתאטורקיסטיות</w:t>
      </w:r>
      <w:proofErr w:type="spellEnd"/>
      <w:r w:rsidRPr="00B32193">
        <w:rPr>
          <w:rFonts w:ascii="David" w:hAnsi="David" w:cs="David"/>
          <w:sz w:val="24"/>
          <w:szCs w:val="24"/>
          <w:rtl/>
        </w:rPr>
        <w:t xml:space="preserve"> אשר הונחו על ידי עקרונות הסינתזה הטורקית-</w:t>
      </w:r>
      <w:proofErr w:type="spellStart"/>
      <w:r w:rsidRPr="00B32193">
        <w:rPr>
          <w:rFonts w:ascii="David" w:hAnsi="David" w:cs="David"/>
          <w:sz w:val="24"/>
          <w:szCs w:val="24"/>
          <w:rtl/>
        </w:rPr>
        <w:t>איסלמית</w:t>
      </w:r>
      <w:proofErr w:type="spellEnd"/>
      <w:r w:rsidRPr="00B32193">
        <w:rPr>
          <w:rFonts w:ascii="David" w:hAnsi="David" w:cs="David"/>
          <w:sz w:val="24"/>
          <w:szCs w:val="24"/>
          <w:rtl/>
        </w:rPr>
        <w:t xml:space="preserve"> (1980-2002) ולסיום מפלגת הצדק והפיתוח (2002-...) כתקופות מפתח בכל הנוגע לכתיבת ספרי לימוד ואינדוקטרינציה.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בתור התקופה ההיסטורית הקרובה ביותר, התקופה </w:t>
      </w:r>
      <w:proofErr w:type="spellStart"/>
      <w:r w:rsidRPr="00B32193">
        <w:rPr>
          <w:rFonts w:ascii="David" w:hAnsi="David" w:cs="David"/>
          <w:sz w:val="24"/>
          <w:szCs w:val="24"/>
          <w:rtl/>
        </w:rPr>
        <w:t>האתאטורקיסטית</w:t>
      </w:r>
      <w:proofErr w:type="spellEnd"/>
      <w:r w:rsidRPr="00B32193">
        <w:rPr>
          <w:rFonts w:ascii="David" w:hAnsi="David" w:cs="David"/>
          <w:sz w:val="24"/>
          <w:szCs w:val="24"/>
          <w:rtl/>
        </w:rPr>
        <w:t xml:space="preserve"> (1980-2002) מהווה את המוקד העיקרי של עבודת מחקר זו. מאחר </w:t>
      </w:r>
      <w:proofErr w:type="spellStart"/>
      <w:r w:rsidRPr="00B32193">
        <w:rPr>
          <w:rFonts w:ascii="David" w:hAnsi="David" w:cs="David"/>
          <w:sz w:val="24"/>
          <w:szCs w:val="24"/>
          <w:rtl/>
        </w:rPr>
        <w:t>שאתאטורקיזם</w:t>
      </w:r>
      <w:proofErr w:type="spellEnd"/>
      <w:r w:rsidRPr="00B32193">
        <w:rPr>
          <w:rFonts w:ascii="David" w:hAnsi="David" w:cs="David"/>
          <w:sz w:val="24"/>
          <w:szCs w:val="24"/>
          <w:rtl/>
        </w:rPr>
        <w:t xml:space="preserve"> הוכרז כאידיאולוגיה הרשמית לאחר ההפיכה הצבאית של 12 בספטמבר 1980, ושהשפעותיה החלו להישחק תחת שלטון מפלגת הצדק והפיתוח (</w:t>
      </w:r>
      <w:r w:rsidRPr="00B32193">
        <w:rPr>
          <w:rFonts w:ascii="David" w:hAnsi="David" w:cs="David"/>
          <w:sz w:val="24"/>
          <w:szCs w:val="24"/>
        </w:rPr>
        <w:t>AKP</w:t>
      </w:r>
      <w:r w:rsidRPr="00B32193">
        <w:rPr>
          <w:rFonts w:ascii="David" w:hAnsi="David" w:cs="David"/>
          <w:sz w:val="24"/>
          <w:szCs w:val="24"/>
          <w:rtl/>
        </w:rPr>
        <w:t xml:space="preserve">) – אשר הסירה לחלוטין </w:t>
      </w:r>
      <w:r w:rsidRPr="00B32193">
        <w:rPr>
          <w:rFonts w:ascii="David" w:hAnsi="David" w:cs="David"/>
          <w:sz w:val="24"/>
          <w:szCs w:val="24"/>
          <w:rtl/>
        </w:rPr>
        <w:lastRenderedPageBreak/>
        <w:t xml:space="preserve">אידיאולוגיה זו מליבת מערכת החינוך התורכית בשנת 2012 – בחרתי בעליית </w:t>
      </w:r>
      <w:r w:rsidRPr="00B32193">
        <w:rPr>
          <w:rFonts w:ascii="David" w:hAnsi="David" w:cs="David"/>
          <w:sz w:val="24"/>
          <w:szCs w:val="24"/>
        </w:rPr>
        <w:t>AKP</w:t>
      </w:r>
      <w:r w:rsidRPr="00B32193">
        <w:rPr>
          <w:rFonts w:ascii="David" w:hAnsi="David" w:cs="David"/>
          <w:sz w:val="24"/>
          <w:szCs w:val="24"/>
          <w:rtl/>
        </w:rPr>
        <w:t xml:space="preserve"> בשנת 2002 כנקודת הסיום ההולמת לעבודת מחקר זו.</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מבחינה זו, המטרה העיקרית של עבודת מחקר זו היא למצוא ולהדגים כיצד הסינתזה הטורקית-אסלאמית השפיעה על האינדוקטרינציה </w:t>
      </w:r>
      <w:proofErr w:type="spellStart"/>
      <w:r w:rsidRPr="00B32193">
        <w:rPr>
          <w:rFonts w:ascii="David" w:hAnsi="David" w:cs="David"/>
          <w:sz w:val="24"/>
          <w:szCs w:val="24"/>
          <w:rtl/>
        </w:rPr>
        <w:t>והסוציליזציה</w:t>
      </w:r>
      <w:proofErr w:type="spellEnd"/>
      <w:r w:rsidRPr="00B32193">
        <w:rPr>
          <w:rFonts w:ascii="David" w:hAnsi="David" w:cs="David"/>
          <w:sz w:val="24"/>
          <w:szCs w:val="24"/>
          <w:rtl/>
        </w:rPr>
        <w:t xml:space="preserve"> של </w:t>
      </w:r>
      <w:proofErr w:type="spellStart"/>
      <w:r w:rsidRPr="00B32193">
        <w:rPr>
          <w:rFonts w:ascii="David" w:hAnsi="David" w:cs="David"/>
          <w:sz w:val="24"/>
          <w:szCs w:val="24"/>
          <w:rtl/>
        </w:rPr>
        <w:t>אתאטורקיזם</w:t>
      </w:r>
      <w:proofErr w:type="spellEnd"/>
      <w:r w:rsidRPr="00B32193">
        <w:rPr>
          <w:rFonts w:ascii="David" w:hAnsi="David" w:cs="David"/>
          <w:sz w:val="24"/>
          <w:szCs w:val="24"/>
          <w:rtl/>
        </w:rPr>
        <w:t xml:space="preserve"> באמצעות ספרי לימוד וטקסים בבתי ספר. מיקוד זה מסייע גם ללא ספק לתאר את הייחודיות של תקופה זו. שנית, על ידי תיאור האבולוציה ההיסטורית של מערכת החינוך הטורקית, החוקים, תקנות, טקסים ובעיקר ספרי הלימוד בבתי הספר והשפעתם על התלמידים, עבודת המחקר תנסה גם להפריד בין החילוניות </w:t>
      </w:r>
      <w:proofErr w:type="spellStart"/>
      <w:r w:rsidRPr="00B32193">
        <w:rPr>
          <w:rFonts w:ascii="David" w:hAnsi="David" w:cs="David"/>
          <w:sz w:val="24"/>
          <w:szCs w:val="24"/>
          <w:rtl/>
        </w:rPr>
        <w:t>הכמאליסטית</w:t>
      </w:r>
      <w:proofErr w:type="spellEnd"/>
      <w:r w:rsidRPr="00B32193">
        <w:rPr>
          <w:rFonts w:ascii="David" w:hAnsi="David" w:cs="David"/>
          <w:sz w:val="24"/>
          <w:szCs w:val="24"/>
          <w:rtl/>
        </w:rPr>
        <w:t xml:space="preserve"> הקשוחה לבין </w:t>
      </w:r>
      <w:proofErr w:type="spellStart"/>
      <w:r w:rsidRPr="00B32193">
        <w:rPr>
          <w:rFonts w:ascii="David" w:hAnsi="David" w:cs="David"/>
          <w:sz w:val="24"/>
          <w:szCs w:val="24"/>
          <w:rtl/>
        </w:rPr>
        <w:t>האתאטורקיזם</w:t>
      </w:r>
      <w:proofErr w:type="spellEnd"/>
      <w:r w:rsidRPr="00B32193">
        <w:rPr>
          <w:rFonts w:ascii="David" w:hAnsi="David" w:cs="David"/>
          <w:sz w:val="24"/>
          <w:szCs w:val="24"/>
          <w:rtl/>
        </w:rPr>
        <w:t xml:space="preserve"> בעל הסובלנות הדתית</w:t>
      </w:r>
      <w:r w:rsidRPr="00B32193">
        <w:rPr>
          <w:rStyle w:val="a8"/>
          <w:rFonts w:ascii="David" w:hAnsi="David" w:cs="David"/>
          <w:sz w:val="24"/>
          <w:szCs w:val="24"/>
          <w:rtl/>
        </w:rPr>
        <w:footnoteReference w:id="1"/>
      </w:r>
      <w:r w:rsidRPr="00B32193">
        <w:rPr>
          <w:rFonts w:ascii="David" w:hAnsi="David" w:cs="David"/>
          <w:sz w:val="24"/>
          <w:szCs w:val="24"/>
          <w:rtl/>
        </w:rPr>
        <w:t xml:space="preserve">. בעוד שההבחנה בוצעה בעבר על ידי חוקרים אחרים, לא נעשה כל ניסיון להוכיח הפרדה זו בין שני המושגים באמצעות ניתוח ספרי לימוד ועדויות של תלמידים. בנוסף לאמור לעיל, עבודת מחקר זו מאפשרת גם להבין את הדינמיקה המרכזית ואת האווירה החברתית שסללה את הדרך לעליית </w:t>
      </w:r>
      <w:r w:rsidRPr="00B32193">
        <w:rPr>
          <w:rFonts w:ascii="David" w:hAnsi="David" w:cs="David"/>
          <w:sz w:val="24"/>
          <w:szCs w:val="24"/>
        </w:rPr>
        <w:t>AKP</w:t>
      </w:r>
      <w:r w:rsidRPr="00B32193">
        <w:rPr>
          <w:rFonts w:ascii="David" w:hAnsi="David" w:cs="David"/>
          <w:sz w:val="24"/>
          <w:szCs w:val="24"/>
          <w:rtl/>
        </w:rPr>
        <w:t xml:space="preserve"> המניעה בימים אלו את הפוליטיקה הטורקית. דבר זה הושג, בין היתר, על ידי </w:t>
      </w:r>
      <w:proofErr w:type="spellStart"/>
      <w:r w:rsidRPr="00B32193">
        <w:rPr>
          <w:rFonts w:ascii="David" w:hAnsi="David" w:cs="David"/>
          <w:sz w:val="24"/>
          <w:szCs w:val="24"/>
          <w:rtl/>
        </w:rPr>
        <w:t>נורמליזצית</w:t>
      </w:r>
      <w:proofErr w:type="spellEnd"/>
      <w:r w:rsidRPr="00B32193">
        <w:rPr>
          <w:rFonts w:ascii="David" w:hAnsi="David" w:cs="David"/>
          <w:sz w:val="24"/>
          <w:szCs w:val="24"/>
          <w:rtl/>
        </w:rPr>
        <w:t xml:space="preserve"> הקשר שבין האסלאם למדינה, כפי שניתן לראות במערכת החינוך הטורקית.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מחקרים אקדמיים רבים נערכו על מערכת החינוך הממלכתית טורקית וספרי הלימוד שבבתי הספר שלה. אולם, אף מחקר אקדמי קודם לא בחן את האינדוקטרינציה </w:t>
      </w:r>
      <w:proofErr w:type="spellStart"/>
      <w:r w:rsidRPr="00B32193">
        <w:rPr>
          <w:rFonts w:ascii="David" w:hAnsi="David" w:cs="David"/>
          <w:sz w:val="24"/>
          <w:szCs w:val="24"/>
          <w:rtl/>
        </w:rPr>
        <w:t>והסוציליזאציה</w:t>
      </w:r>
      <w:proofErr w:type="spellEnd"/>
      <w:r w:rsidRPr="00B32193">
        <w:rPr>
          <w:rFonts w:ascii="David" w:hAnsi="David" w:cs="David"/>
          <w:sz w:val="24"/>
          <w:szCs w:val="24"/>
          <w:rtl/>
        </w:rPr>
        <w:t xml:space="preserve"> של אידיאולוגיה רשמית כלשהי באמצעות בחינת ספרי לימוד מובילים והפנייה לעדויות של תלמידים. מזווית זו, ספרי לימוד, תקנות, כמו גם הנחיות לביצוע טקסים הוצאו מהארכיונים של משרד החינוך באנקרה, טורקיה, ומהמכון ע"ש </w:t>
      </w:r>
      <w:proofErr w:type="spellStart"/>
      <w:r w:rsidRPr="00B32193">
        <w:rPr>
          <w:rFonts w:ascii="David" w:hAnsi="David" w:cs="David"/>
          <w:sz w:val="24"/>
          <w:szCs w:val="24"/>
          <w:rtl/>
        </w:rPr>
        <w:t>גיאורג</w:t>
      </w:r>
      <w:proofErr w:type="spellEnd"/>
      <w:r w:rsidRPr="00B32193">
        <w:rPr>
          <w:rFonts w:ascii="David" w:hAnsi="David" w:cs="David"/>
          <w:sz w:val="24"/>
          <w:szCs w:val="24"/>
          <w:rtl/>
        </w:rPr>
        <w:t xml:space="preserve"> </w:t>
      </w:r>
      <w:proofErr w:type="spellStart"/>
      <w:r w:rsidRPr="00B32193">
        <w:rPr>
          <w:rFonts w:ascii="David" w:hAnsi="David" w:cs="David"/>
          <w:sz w:val="24"/>
          <w:szCs w:val="24"/>
          <w:rtl/>
        </w:rPr>
        <w:t>אקרט</w:t>
      </w:r>
      <w:proofErr w:type="spellEnd"/>
      <w:r w:rsidRPr="00B32193">
        <w:rPr>
          <w:rFonts w:ascii="David" w:hAnsi="David" w:cs="David"/>
          <w:sz w:val="24"/>
          <w:szCs w:val="24"/>
          <w:rtl/>
        </w:rPr>
        <w:t xml:space="preserve"> למחקר בין-לאומי של ספרי לימוד </w:t>
      </w:r>
      <w:proofErr w:type="spellStart"/>
      <w:r w:rsidRPr="00B32193">
        <w:rPr>
          <w:rFonts w:ascii="David" w:hAnsi="David" w:cs="David"/>
          <w:sz w:val="24"/>
          <w:szCs w:val="24"/>
          <w:rtl/>
        </w:rPr>
        <w:t>שבבראונשוויג</w:t>
      </w:r>
      <w:proofErr w:type="spellEnd"/>
      <w:r w:rsidRPr="00B32193">
        <w:rPr>
          <w:rFonts w:ascii="David" w:hAnsi="David" w:cs="David"/>
          <w:sz w:val="24"/>
          <w:szCs w:val="24"/>
          <w:rtl/>
        </w:rPr>
        <w:t xml:space="preserve">, גרמניה. מעבר לכך, עבודת מחקר זו מנסה לשפוך אור על השפעת האינדוקטרינציה על התלמידים באמצעות ראיונות אישיים – שאינם מהווים מדגם מייצג – עם תלמידים בעלי רקע אתני, דתי, סוציו-אקונומי, פוליטי </w:t>
      </w:r>
      <w:proofErr w:type="spellStart"/>
      <w:r w:rsidRPr="00B32193">
        <w:rPr>
          <w:rFonts w:ascii="David" w:hAnsi="David" w:cs="David"/>
          <w:sz w:val="24"/>
          <w:szCs w:val="24"/>
          <w:rtl/>
        </w:rPr>
        <w:t>וגיאוגראפי</w:t>
      </w:r>
      <w:proofErr w:type="spellEnd"/>
      <w:r w:rsidRPr="00B32193">
        <w:rPr>
          <w:rFonts w:ascii="David" w:hAnsi="David" w:cs="David"/>
          <w:sz w:val="24"/>
          <w:szCs w:val="24"/>
          <w:rtl/>
        </w:rPr>
        <w:t xml:space="preserve"> שונה, ושחיים במגוון ערים ברחבי טורקיה.</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לאור כל זאת, עבודת מחקר זו מנסה להשיג את מטרותיה העיקריות בעזרת ניתוח תוכן של ספרי לימוד טורקיים מובילים. לכן, כמובילי האינדוקטרינציה </w:t>
      </w:r>
      <w:proofErr w:type="spellStart"/>
      <w:r w:rsidRPr="00B32193">
        <w:rPr>
          <w:rFonts w:ascii="David" w:hAnsi="David" w:cs="David"/>
          <w:sz w:val="24"/>
          <w:szCs w:val="24"/>
          <w:rtl/>
        </w:rPr>
        <w:t>האתאטורקיסטית</w:t>
      </w:r>
      <w:proofErr w:type="spellEnd"/>
      <w:r w:rsidRPr="00B32193">
        <w:rPr>
          <w:rFonts w:ascii="David" w:hAnsi="David" w:cs="David"/>
          <w:sz w:val="24"/>
          <w:szCs w:val="24"/>
          <w:rtl/>
        </w:rPr>
        <w:t xml:space="preserve">, נבחנו הספרים "לימודי בטחון לאומי", "תרבות דתית ולימודים אתיים", "הרפובליקה הטורקית, היסטורית הרפורמות שלה </w:t>
      </w:r>
      <w:proofErr w:type="spellStart"/>
      <w:r w:rsidRPr="00B32193">
        <w:rPr>
          <w:rFonts w:ascii="David" w:hAnsi="David" w:cs="David"/>
          <w:sz w:val="24"/>
          <w:szCs w:val="24"/>
          <w:rtl/>
        </w:rPr>
        <w:t>ואתאטורקיזם</w:t>
      </w:r>
      <w:proofErr w:type="spellEnd"/>
      <w:r w:rsidRPr="00B32193">
        <w:rPr>
          <w:rFonts w:ascii="David" w:hAnsi="David" w:cs="David"/>
          <w:sz w:val="24"/>
          <w:szCs w:val="24"/>
          <w:rtl/>
        </w:rPr>
        <w:t xml:space="preserve">", ו"לימודי אזרחות" בארבעה פרקים שונים של עבודת מחקר זו. מעבר לכך, כדי לספק הבנה מפורשת של התגלמות </w:t>
      </w:r>
      <w:r w:rsidRPr="00B32193">
        <w:rPr>
          <w:rFonts w:ascii="David" w:hAnsi="David" w:cs="David"/>
          <w:sz w:val="24"/>
          <w:szCs w:val="24"/>
          <w:rtl/>
        </w:rPr>
        <w:lastRenderedPageBreak/>
        <w:t xml:space="preserve">האינדוקטרינציה ויכולתה לחדור אל ההמונים, נוספו לעבודה זו שני פרקים שנוגעים ברקע ההיסטורי ובסוציאליזציה של </w:t>
      </w:r>
      <w:proofErr w:type="spellStart"/>
      <w:r w:rsidRPr="00B32193">
        <w:rPr>
          <w:rFonts w:ascii="David" w:hAnsi="David" w:cs="David"/>
          <w:sz w:val="24"/>
          <w:szCs w:val="24"/>
          <w:rtl/>
        </w:rPr>
        <w:t>האתאטורקיזם</w:t>
      </w:r>
      <w:proofErr w:type="spellEnd"/>
      <w:r w:rsidRPr="00B32193">
        <w:rPr>
          <w:rFonts w:ascii="David" w:hAnsi="David" w:cs="David"/>
          <w:sz w:val="24"/>
          <w:szCs w:val="24"/>
          <w:rtl/>
        </w:rPr>
        <w:t>, בתחילתה ובסיומה בהתאמה.</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הפרק הראשון של עבודת המחקר – רקע היסטורי – מספק לקורא את ההבנה הכרונולוגית של אירועי עבר משמעותיים ומדגיש את האבולוציה של מערכת החינוך הממלכתית </w:t>
      </w:r>
      <w:r>
        <w:rPr>
          <w:rFonts w:ascii="David" w:hAnsi="David" w:cs="David" w:hint="cs"/>
          <w:sz w:val="24"/>
          <w:szCs w:val="24"/>
          <w:rtl/>
        </w:rPr>
        <w:t>ה</w:t>
      </w:r>
      <w:r w:rsidRPr="00B32193">
        <w:rPr>
          <w:rFonts w:ascii="David" w:hAnsi="David" w:cs="David"/>
          <w:sz w:val="24"/>
          <w:szCs w:val="24"/>
          <w:rtl/>
        </w:rPr>
        <w:t xml:space="preserve">טורקית. מבחינה זו, </w:t>
      </w:r>
      <w:r>
        <w:rPr>
          <w:rFonts w:ascii="David" w:hAnsi="David" w:cs="David" w:hint="cs"/>
          <w:sz w:val="24"/>
          <w:szCs w:val="24"/>
          <w:rtl/>
        </w:rPr>
        <w:t>הובחנה</w:t>
      </w:r>
      <w:r w:rsidRPr="00B32193">
        <w:rPr>
          <w:rFonts w:ascii="David" w:hAnsi="David" w:cs="David"/>
          <w:sz w:val="24"/>
          <w:szCs w:val="24"/>
          <w:rtl/>
        </w:rPr>
        <w:t xml:space="preserve"> השקפתם של אנשי רוח טורקיים בולטים, כמו גם של אסכולות שונות בנוגע לחינוך. רקע זה יקל על הבנת ההופעה של </w:t>
      </w:r>
      <w:proofErr w:type="spellStart"/>
      <w:r w:rsidRPr="00B32193">
        <w:rPr>
          <w:rFonts w:ascii="David" w:hAnsi="David" w:cs="David"/>
          <w:sz w:val="24"/>
          <w:szCs w:val="24"/>
          <w:rtl/>
        </w:rPr>
        <w:t>אתאטורקיזם</w:t>
      </w:r>
      <w:proofErr w:type="spellEnd"/>
      <w:r w:rsidRPr="00B32193">
        <w:rPr>
          <w:rFonts w:ascii="David" w:hAnsi="David" w:cs="David"/>
          <w:sz w:val="24"/>
          <w:szCs w:val="24"/>
          <w:rtl/>
        </w:rPr>
        <w:t xml:space="preserve"> אשר הושפעה עמוקות מהסינתזה הטורקית-</w:t>
      </w:r>
      <w:proofErr w:type="spellStart"/>
      <w:r w:rsidRPr="00B32193">
        <w:rPr>
          <w:rFonts w:ascii="David" w:hAnsi="David" w:cs="David"/>
          <w:sz w:val="24"/>
          <w:szCs w:val="24"/>
          <w:rtl/>
        </w:rPr>
        <w:t>איסלאמית</w:t>
      </w:r>
      <w:proofErr w:type="spellEnd"/>
      <w:r w:rsidRPr="00B32193">
        <w:rPr>
          <w:rFonts w:ascii="David" w:hAnsi="David" w:cs="David"/>
          <w:sz w:val="24"/>
          <w:szCs w:val="24"/>
          <w:rtl/>
        </w:rPr>
        <w:t>.</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מאחר שההפיכה הצבאית של 1980 מהווה את נקודת הפתיחה של מוקד עבודת מחקר זו, ספרי לימודי ביטחון לאומי אשר נכתבו על ידי הכוחות המזוינים הטורקיים מהווים את הפרק השני של עבודה זו. הפרק מטפל בשורשי המיליטריזציה הגוברת של החברה הטורקית על ידי הדגשת מושג </w:t>
      </w:r>
      <w:r w:rsidRPr="00B32193">
        <w:rPr>
          <w:rFonts w:ascii="David" w:hAnsi="David" w:cs="David"/>
          <w:i/>
          <w:iCs/>
          <w:sz w:val="24"/>
          <w:szCs w:val="24"/>
          <w:rtl/>
        </w:rPr>
        <w:t xml:space="preserve">האומה </w:t>
      </w:r>
      <w:proofErr w:type="spellStart"/>
      <w:r w:rsidRPr="00B32193">
        <w:rPr>
          <w:rFonts w:ascii="David" w:hAnsi="David" w:cs="David"/>
          <w:i/>
          <w:iCs/>
          <w:sz w:val="24"/>
          <w:szCs w:val="24"/>
          <w:rtl/>
        </w:rPr>
        <w:t>המ</w:t>
      </w:r>
      <w:r>
        <w:rPr>
          <w:rFonts w:ascii="David" w:hAnsi="David" w:cs="David" w:hint="cs"/>
          <w:i/>
          <w:iCs/>
          <w:sz w:val="24"/>
          <w:szCs w:val="24"/>
          <w:rtl/>
        </w:rPr>
        <w:t>גוייסת</w:t>
      </w:r>
      <w:proofErr w:type="spellEnd"/>
      <w:r>
        <w:rPr>
          <w:rFonts w:ascii="David" w:hAnsi="David" w:cs="David" w:hint="cs"/>
          <w:i/>
          <w:iCs/>
          <w:sz w:val="24"/>
          <w:szCs w:val="24"/>
          <w:rtl/>
        </w:rPr>
        <w:t xml:space="preserve">                </w:t>
      </w:r>
      <w:r w:rsidRPr="00B32193">
        <w:rPr>
          <w:rFonts w:ascii="David" w:hAnsi="David" w:cs="David"/>
          <w:i/>
          <w:iCs/>
          <w:sz w:val="24"/>
          <w:szCs w:val="24"/>
          <w:rtl/>
        </w:rPr>
        <w:t xml:space="preserve"> (</w:t>
      </w:r>
      <w:r w:rsidRPr="00B32193">
        <w:rPr>
          <w:rFonts w:ascii="David" w:hAnsi="David" w:cs="David"/>
          <w:i/>
          <w:iCs/>
          <w:sz w:val="24"/>
          <w:szCs w:val="24"/>
          <w:lang w:val="tr-TR"/>
        </w:rPr>
        <w:t>Nation in Arms</w:t>
      </w:r>
      <w:r w:rsidRPr="00B32193">
        <w:rPr>
          <w:rFonts w:ascii="David" w:hAnsi="David" w:cs="David"/>
          <w:i/>
          <w:iCs/>
          <w:sz w:val="24"/>
          <w:szCs w:val="24"/>
          <w:rtl/>
        </w:rPr>
        <w:t>)</w:t>
      </w:r>
      <w:r w:rsidRPr="00B32193">
        <w:rPr>
          <w:rFonts w:ascii="David" w:hAnsi="David" w:cs="David"/>
          <w:sz w:val="24"/>
          <w:szCs w:val="24"/>
          <w:rtl/>
        </w:rPr>
        <w:t xml:space="preserve"> ומיתוס המדינה-צבא. מעבר לכך, הפרק חושף את תפיסת </w:t>
      </w:r>
      <w:proofErr w:type="spellStart"/>
      <w:r w:rsidRPr="00B32193">
        <w:rPr>
          <w:rFonts w:ascii="David" w:hAnsi="David" w:cs="David"/>
          <w:sz w:val="24"/>
          <w:szCs w:val="24"/>
          <w:rtl/>
        </w:rPr>
        <w:t>האתאטורקיזם</w:t>
      </w:r>
      <w:proofErr w:type="spellEnd"/>
      <w:r w:rsidRPr="00B32193">
        <w:rPr>
          <w:rFonts w:ascii="David" w:hAnsi="David" w:cs="David"/>
          <w:sz w:val="24"/>
          <w:szCs w:val="24"/>
          <w:rtl/>
        </w:rPr>
        <w:t xml:space="preserve"> על ידי הצבא הטורקי כאידיאולוגיה ממלכתית שנמצאת תחת איום מתמיד, ושעליה יש להגן מפני יריבים מבפנים ומבחוץ. במילים אחרות, הפרק </w:t>
      </w:r>
      <w:r>
        <w:rPr>
          <w:rFonts w:ascii="David" w:hAnsi="David" w:cs="David" w:hint="cs"/>
          <w:sz w:val="24"/>
          <w:szCs w:val="24"/>
          <w:rtl/>
        </w:rPr>
        <w:t>מ</w:t>
      </w:r>
      <w:r w:rsidRPr="00B32193">
        <w:rPr>
          <w:rFonts w:ascii="David" w:hAnsi="David" w:cs="David"/>
          <w:sz w:val="24"/>
          <w:szCs w:val="24"/>
          <w:rtl/>
        </w:rPr>
        <w:t xml:space="preserve">סכם את הסיפור של </w:t>
      </w:r>
      <w:proofErr w:type="spellStart"/>
      <w:r w:rsidRPr="00B32193">
        <w:rPr>
          <w:rFonts w:ascii="David" w:hAnsi="David" w:cs="David"/>
          <w:sz w:val="24"/>
          <w:szCs w:val="24"/>
          <w:rtl/>
        </w:rPr>
        <w:t>אתאטורקיזם</w:t>
      </w:r>
      <w:proofErr w:type="spellEnd"/>
      <w:r w:rsidRPr="00B32193">
        <w:rPr>
          <w:rFonts w:ascii="David" w:hAnsi="David" w:cs="David"/>
          <w:sz w:val="24"/>
          <w:szCs w:val="24"/>
          <w:rtl/>
        </w:rPr>
        <w:t xml:space="preserve"> צבאי, </w:t>
      </w:r>
      <w:proofErr w:type="spellStart"/>
      <w:r w:rsidRPr="00B32193">
        <w:rPr>
          <w:rFonts w:ascii="David" w:hAnsi="David" w:cs="David"/>
          <w:sz w:val="24"/>
          <w:szCs w:val="24"/>
          <w:rtl/>
        </w:rPr>
        <w:t>ספרטאני</w:t>
      </w:r>
      <w:proofErr w:type="spellEnd"/>
      <w:r w:rsidRPr="00B32193">
        <w:rPr>
          <w:rFonts w:ascii="David" w:hAnsi="David" w:cs="David"/>
          <w:sz w:val="24"/>
          <w:szCs w:val="24"/>
          <w:rtl/>
        </w:rPr>
        <w:t xml:space="preserve">, ואת מאמצי הלגיטימציה העצמית של הצבא במערכת באמצעות ספרי הלימוד של בתי הספר.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בתור ה"תנ"ך" של </w:t>
      </w:r>
      <w:proofErr w:type="spellStart"/>
      <w:r w:rsidRPr="00B32193">
        <w:rPr>
          <w:rFonts w:ascii="David" w:hAnsi="David" w:cs="David"/>
          <w:sz w:val="24"/>
          <w:szCs w:val="24"/>
          <w:rtl/>
        </w:rPr>
        <w:t>הסיתנזה</w:t>
      </w:r>
      <w:proofErr w:type="spellEnd"/>
      <w:r w:rsidRPr="00B32193">
        <w:rPr>
          <w:rFonts w:ascii="David" w:hAnsi="David" w:cs="David"/>
          <w:sz w:val="24"/>
          <w:szCs w:val="24"/>
          <w:rtl/>
        </w:rPr>
        <w:t xml:space="preserve"> הטורקית-אסלאמית, ספרים ללימוד דת הם החלק השלישי של עבודה זו. הפרק מספק רקע לגבי הדחיקה לשוליים של האסלאם ואימוצו מחדש על ידי המדינה בספירה החינוכית. הרקע לפרק זה כולל את הכיסוי המקיף של האסלאם על ידי ספרי הלימוד, התיאור של דת זו כנעלית על פני הדתות המונותאיסטיות האחרות, כמו גם את ניסיונותיהם לשכנע תלמידים בהתאמה של האסלאם לחילוניות.</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הפרק הרביעי של עבודה זו בוחן את ספרי הלימוד של "הרפובליקה הטורקית, היסטורית הרפורמות שלה </w:t>
      </w:r>
      <w:proofErr w:type="spellStart"/>
      <w:r w:rsidRPr="00B32193">
        <w:rPr>
          <w:rFonts w:ascii="David" w:hAnsi="David" w:cs="David"/>
          <w:sz w:val="24"/>
          <w:szCs w:val="24"/>
          <w:rtl/>
        </w:rPr>
        <w:t>והאתאטורקיזם</w:t>
      </w:r>
      <w:proofErr w:type="spellEnd"/>
      <w:r w:rsidRPr="00B32193">
        <w:rPr>
          <w:rFonts w:ascii="David" w:hAnsi="David" w:cs="David"/>
          <w:sz w:val="24"/>
          <w:szCs w:val="24"/>
          <w:rtl/>
        </w:rPr>
        <w:t xml:space="preserve">". כדי להדגיש את הייחודיות של השנים 1980-2002, הפרק משווה את ספרי לימוד ההיסטוריה שפורסמו בין השנים 1924-2002. לאור זאת, צוינו מאמצי הספרים שנכתבו בין השנים 1980-2002 לתאר את </w:t>
      </w:r>
      <w:proofErr w:type="spellStart"/>
      <w:r w:rsidRPr="00B32193">
        <w:rPr>
          <w:rFonts w:ascii="David" w:hAnsi="David" w:cs="David"/>
          <w:sz w:val="24"/>
          <w:szCs w:val="24"/>
          <w:rtl/>
        </w:rPr>
        <w:t>אתאטורק</w:t>
      </w:r>
      <w:proofErr w:type="spellEnd"/>
      <w:r w:rsidRPr="00B32193">
        <w:rPr>
          <w:rFonts w:ascii="David" w:hAnsi="David" w:cs="David"/>
          <w:sz w:val="24"/>
          <w:szCs w:val="24"/>
          <w:rtl/>
        </w:rPr>
        <w:t xml:space="preserve"> כגיבור-על והסינכרוניזציה של כל הנרטיב של ההיסטוריה הטורקית המודרנית בהתאם לחייו של </w:t>
      </w:r>
      <w:proofErr w:type="spellStart"/>
      <w:r w:rsidRPr="00B32193">
        <w:rPr>
          <w:rFonts w:ascii="David" w:hAnsi="David" w:cs="David"/>
          <w:sz w:val="24"/>
          <w:szCs w:val="24"/>
          <w:rtl/>
        </w:rPr>
        <w:t>אתאטורק</w:t>
      </w:r>
      <w:proofErr w:type="spellEnd"/>
      <w:r w:rsidRPr="00B32193">
        <w:rPr>
          <w:rFonts w:ascii="David" w:hAnsi="David" w:cs="David"/>
          <w:sz w:val="24"/>
          <w:szCs w:val="24"/>
          <w:rtl/>
        </w:rPr>
        <w:t xml:space="preserve">. מעבר לכך, הפרק נוגע בעמדתם של ספרי הלימוד כלפי השאלה הכורדית והאסלאם הפוליטי, כמו גם בנוגע למאמצי הצבא הטורקי להשגת לגיטימציה כשחקן פוליטי.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ספרי האזרחות ששימשו בעיקר לצרכי מראית עין והסברת המערכת ויסודותיה, כמו גם לצורך הגדרת מושגים כגון קשר המדינה והאזרחים, נמצאים במרכז הפרק החמישי של עבודה זו. לצד תיאור נושאי ליבה אלו על ידי </w:t>
      </w:r>
      <w:r w:rsidRPr="00B32193">
        <w:rPr>
          <w:rFonts w:ascii="David" w:hAnsi="David" w:cs="David"/>
          <w:sz w:val="24"/>
          <w:szCs w:val="24"/>
          <w:rtl/>
        </w:rPr>
        <w:lastRenderedPageBreak/>
        <w:t xml:space="preserve">ספרי הלימוד, הפרק מסכם גם את הופעת האזרחות באופן כללי, כמו גם את התפתחותה באימפריה העות'מאנית ובטורקיה המודרנית. מבחינה זו, הפרק דן, באופן בלתי נמנע, בפרדוקס שבין סגנון הלאומנות הטורקית המאמצת והמודרנית, כפי שאומצה על ידי החוקה הטורקית, והלאומנות הטורקית מהסוג </w:t>
      </w:r>
      <w:proofErr w:type="spellStart"/>
      <w:r w:rsidRPr="00B32193">
        <w:rPr>
          <w:rFonts w:ascii="David" w:hAnsi="David" w:cs="David"/>
          <w:sz w:val="24"/>
          <w:szCs w:val="24"/>
          <w:rtl/>
        </w:rPr>
        <w:t>האתנו</w:t>
      </w:r>
      <w:proofErr w:type="spellEnd"/>
      <w:r w:rsidRPr="00B32193">
        <w:rPr>
          <w:rFonts w:ascii="David" w:hAnsi="David" w:cs="David"/>
          <w:sz w:val="24"/>
          <w:szCs w:val="24"/>
          <w:rtl/>
        </w:rPr>
        <w:t xml:space="preserve">-דתי שנמצא בספרי הלימוד.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לסיום, לאחר סקירת הרקע ההיסטורי וספרי הלימוד המובילים מבחינת אינדוקטרינציה, הפרק השישי של עבודה זו בוחן את הטקסים שנערכים בבתי הספר, כיתות הלימוד והפעילויות שלאחר שעות הלימודים, כמו גם עדויות של תלמידים. באופן זה, העבודה מבקשת לשפוך אור על הסוציאליזציה של </w:t>
      </w:r>
      <w:proofErr w:type="spellStart"/>
      <w:r w:rsidRPr="00B32193">
        <w:rPr>
          <w:rFonts w:ascii="David" w:hAnsi="David" w:cs="David"/>
          <w:sz w:val="24"/>
          <w:szCs w:val="24"/>
          <w:rtl/>
        </w:rPr>
        <w:t>האתאטורקיזם</w:t>
      </w:r>
      <w:proofErr w:type="spellEnd"/>
      <w:r w:rsidRPr="00B32193">
        <w:rPr>
          <w:rFonts w:ascii="David" w:hAnsi="David" w:cs="David"/>
          <w:sz w:val="24"/>
          <w:szCs w:val="24"/>
          <w:rtl/>
        </w:rPr>
        <w:t xml:space="preserve"> ואת מידת החדירה של האינדוקטרינציה שלו.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בסופו של דבר, מתוך הסתמכות על אירועים היסטוריים, הצהרות, תקנות, חוקים, ספרי לימוד (1924-2002) וטקסים בבתי ספר, העבודה מציגה תמונה ברורה שבה </w:t>
      </w:r>
      <w:proofErr w:type="spellStart"/>
      <w:r w:rsidRPr="00B32193">
        <w:rPr>
          <w:rFonts w:ascii="David" w:hAnsi="David" w:cs="David"/>
          <w:sz w:val="24"/>
          <w:szCs w:val="24"/>
          <w:rtl/>
        </w:rPr>
        <w:t>אתאטורקיזם</w:t>
      </w:r>
      <w:proofErr w:type="spellEnd"/>
      <w:r w:rsidRPr="00B32193">
        <w:rPr>
          <w:rFonts w:ascii="David" w:hAnsi="David" w:cs="David"/>
          <w:sz w:val="24"/>
          <w:szCs w:val="24"/>
          <w:rtl/>
        </w:rPr>
        <w:t xml:space="preserve"> -האידיאולוגיה השלטת בשנים 1980-2002 - הבחין את עצמו </w:t>
      </w:r>
      <w:proofErr w:type="spellStart"/>
      <w:r w:rsidRPr="00B32193">
        <w:rPr>
          <w:rFonts w:ascii="David" w:hAnsi="David" w:cs="David"/>
          <w:sz w:val="24"/>
          <w:szCs w:val="24"/>
          <w:rtl/>
        </w:rPr>
        <w:t>מכמאליזם</w:t>
      </w:r>
      <w:proofErr w:type="spellEnd"/>
      <w:r w:rsidRPr="00B32193">
        <w:rPr>
          <w:rFonts w:ascii="David" w:hAnsi="David" w:cs="David"/>
          <w:sz w:val="24"/>
          <w:szCs w:val="24"/>
          <w:rtl/>
        </w:rPr>
        <w:t xml:space="preserve">. אכן, יש להדגיש את הניסיונות של </w:t>
      </w:r>
      <w:proofErr w:type="spellStart"/>
      <w:r w:rsidRPr="00B32193">
        <w:rPr>
          <w:rFonts w:ascii="David" w:hAnsi="David" w:cs="David"/>
          <w:sz w:val="24"/>
          <w:szCs w:val="24"/>
          <w:rtl/>
        </w:rPr>
        <w:t>האתאטורקיזם</w:t>
      </w:r>
      <w:proofErr w:type="spellEnd"/>
      <w:r w:rsidRPr="00B32193">
        <w:rPr>
          <w:rFonts w:ascii="David" w:hAnsi="David" w:cs="David"/>
          <w:sz w:val="24"/>
          <w:szCs w:val="24"/>
          <w:rtl/>
        </w:rPr>
        <w:t xml:space="preserve"> ליישב בין חילוניות לבין אסלאם תחת </w:t>
      </w:r>
      <w:proofErr w:type="spellStart"/>
      <w:r w:rsidRPr="00B32193">
        <w:rPr>
          <w:rFonts w:ascii="David" w:hAnsi="David" w:cs="David"/>
          <w:sz w:val="24"/>
          <w:szCs w:val="24"/>
          <w:rtl/>
        </w:rPr>
        <w:t>צילו</w:t>
      </w:r>
      <w:proofErr w:type="spellEnd"/>
      <w:r w:rsidRPr="00B32193">
        <w:rPr>
          <w:rFonts w:ascii="David" w:hAnsi="David" w:cs="David"/>
          <w:sz w:val="24"/>
          <w:szCs w:val="24"/>
          <w:rtl/>
        </w:rPr>
        <w:t xml:space="preserve"> של פולחן </w:t>
      </w:r>
      <w:proofErr w:type="spellStart"/>
      <w:r w:rsidRPr="00B32193">
        <w:rPr>
          <w:rFonts w:ascii="David" w:hAnsi="David" w:cs="David"/>
          <w:sz w:val="24"/>
          <w:szCs w:val="24"/>
          <w:rtl/>
        </w:rPr>
        <w:t>אתאטורק</w:t>
      </w:r>
      <w:proofErr w:type="spellEnd"/>
      <w:r w:rsidRPr="00B32193">
        <w:rPr>
          <w:rFonts w:ascii="David" w:hAnsi="David" w:cs="David"/>
          <w:sz w:val="24"/>
          <w:szCs w:val="24"/>
          <w:rtl/>
        </w:rPr>
        <w:t xml:space="preserve"> החזק, ששימש גם כאסמכתא בחומרי הלימוד, כנקודה העיקרית שמבחינה בין שתי האידיאולוגיות. מעבר לכך, </w:t>
      </w:r>
      <w:proofErr w:type="spellStart"/>
      <w:r w:rsidRPr="00B32193">
        <w:rPr>
          <w:rFonts w:ascii="David" w:hAnsi="David" w:cs="David"/>
          <w:sz w:val="24"/>
          <w:szCs w:val="24"/>
          <w:rtl/>
        </w:rPr>
        <w:t>אתאטורקיזם</w:t>
      </w:r>
      <w:proofErr w:type="spellEnd"/>
      <w:r w:rsidRPr="00B32193">
        <w:rPr>
          <w:rFonts w:ascii="David" w:hAnsi="David" w:cs="David"/>
          <w:sz w:val="24"/>
          <w:szCs w:val="24"/>
          <w:rtl/>
        </w:rPr>
        <w:t xml:space="preserve"> חוזק עוד יותר על ידי עליית המיליטריזציה. תיאור מגוון ישויות כאיומים מבית ומבחוץ, סיפק את רוח ה"התלכדות מסביב לדגל", כמו גם אמצעי לכוחות המזוינים הטורקיים להצדיק את קיומם בפוליטיקה הטורקית. </w:t>
      </w:r>
    </w:p>
    <w:p w:rsidR="008D279A" w:rsidRPr="00B32193" w:rsidRDefault="008D279A" w:rsidP="008D279A">
      <w:pPr>
        <w:bidi/>
        <w:spacing w:after="240" w:line="480" w:lineRule="auto"/>
        <w:jc w:val="both"/>
        <w:rPr>
          <w:rFonts w:ascii="David" w:hAnsi="David" w:cs="David"/>
          <w:sz w:val="24"/>
          <w:szCs w:val="24"/>
          <w:rtl/>
        </w:rPr>
      </w:pPr>
      <w:r w:rsidRPr="00B32193">
        <w:rPr>
          <w:rFonts w:ascii="David" w:hAnsi="David" w:cs="David"/>
          <w:sz w:val="24"/>
          <w:szCs w:val="24"/>
          <w:rtl/>
        </w:rPr>
        <w:t xml:space="preserve">למרות תיאור כל אותם ניסיונות עצומים לאינדוקטרינציה, עדויות התלמידים שהושגו לצורך עבודה זו חושפים את חולשות המערכת. מבחינה זו, דגש מוגזם על האישיות של </w:t>
      </w:r>
      <w:proofErr w:type="spellStart"/>
      <w:r w:rsidRPr="00B32193">
        <w:rPr>
          <w:rFonts w:ascii="David" w:hAnsi="David" w:cs="David"/>
          <w:sz w:val="24"/>
          <w:szCs w:val="24"/>
          <w:rtl/>
        </w:rPr>
        <w:t>אתאטורק</w:t>
      </w:r>
      <w:proofErr w:type="spellEnd"/>
      <w:r w:rsidRPr="00B32193">
        <w:rPr>
          <w:rFonts w:ascii="David" w:hAnsi="David" w:cs="David"/>
          <w:sz w:val="24"/>
          <w:szCs w:val="24"/>
          <w:rtl/>
        </w:rPr>
        <w:t xml:space="preserve"> והכחשת הזהות הכורדית נראים כנקודות החולשה המשמעותיות ביותר של המערכת. בד בבד, הוצאת האזרחים הלא מוסלמים מהגדרת הטורקיות יחד עם תחושתם ככאלו שמובדלים מהכלל עשויה להיתפס ככשל נוסף של הדמוקרטיה הטורקית. </w:t>
      </w:r>
    </w:p>
    <w:p w:rsidR="008D279A" w:rsidRDefault="008D279A" w:rsidP="008D279A">
      <w:pPr>
        <w:bidi/>
        <w:spacing w:after="240" w:line="360" w:lineRule="auto"/>
        <w:rPr>
          <w:rtl/>
        </w:rPr>
      </w:pPr>
    </w:p>
    <w:p w:rsidR="008D279A" w:rsidRPr="00874E40" w:rsidRDefault="008D279A" w:rsidP="008D279A">
      <w:pPr>
        <w:bidi/>
        <w:rPr>
          <w:rFonts w:asciiTheme="majorBidi" w:hAnsiTheme="majorBidi" w:cstheme="majorBidi"/>
          <w:b/>
          <w:bCs/>
          <w:sz w:val="28"/>
          <w:szCs w:val="28"/>
          <w:u w:val="single"/>
          <w:rtl/>
        </w:rPr>
      </w:pPr>
    </w:p>
    <w:p w:rsidR="008D279A" w:rsidRPr="00874E40" w:rsidRDefault="008D279A" w:rsidP="008D279A">
      <w:pPr>
        <w:rPr>
          <w:rFonts w:asciiTheme="majorBidi" w:hAnsiTheme="majorBidi" w:cstheme="majorBidi"/>
          <w:b/>
          <w:bCs/>
          <w:sz w:val="28"/>
          <w:szCs w:val="28"/>
          <w:u w:val="single"/>
        </w:rPr>
      </w:pPr>
    </w:p>
    <w:p w:rsidR="008D279A" w:rsidRPr="00874E40" w:rsidRDefault="008D279A" w:rsidP="008D279A">
      <w:pPr>
        <w:rPr>
          <w:rFonts w:asciiTheme="majorBidi" w:hAnsiTheme="majorBidi" w:cstheme="majorBidi"/>
          <w:b/>
          <w:bCs/>
          <w:sz w:val="28"/>
          <w:szCs w:val="28"/>
          <w:u w:val="single"/>
        </w:rPr>
      </w:pPr>
    </w:p>
    <w:p w:rsidR="00E04A7E" w:rsidRDefault="00E04A7E">
      <w:bookmarkStart w:id="0" w:name="_GoBack"/>
      <w:bookmarkEnd w:id="0"/>
    </w:p>
    <w:sectPr w:rsidR="00E04A7E" w:rsidSect="005C2B54">
      <w:footerReference w:type="default" r:id="rId6"/>
      <w:pgSz w:w="12240" w:h="15840" w:code="1"/>
      <w:pgMar w:top="1411" w:right="1411" w:bottom="1411"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BF" w:rsidRDefault="009118BF" w:rsidP="008D279A">
      <w:pPr>
        <w:spacing w:after="0" w:line="240" w:lineRule="auto"/>
      </w:pPr>
      <w:r>
        <w:separator/>
      </w:r>
    </w:p>
  </w:endnote>
  <w:endnote w:type="continuationSeparator" w:id="0">
    <w:p w:rsidR="009118BF" w:rsidRDefault="009118BF" w:rsidP="008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916490"/>
      <w:docPartObj>
        <w:docPartGallery w:val="Page Numbers (Bottom of Page)"/>
        <w:docPartUnique/>
      </w:docPartObj>
    </w:sdtPr>
    <w:sdtEndPr/>
    <w:sdtContent>
      <w:p w:rsidR="009A08D3" w:rsidRDefault="009118BF">
        <w:pPr>
          <w:pStyle w:val="a4"/>
          <w:jc w:val="center"/>
        </w:pPr>
        <w:r>
          <w:fldChar w:fldCharType="begin"/>
        </w:r>
        <w:r>
          <w:instrText xml:space="preserve"> PAGE   \* MERGEFORMAT </w:instrText>
        </w:r>
        <w:r>
          <w:fldChar w:fldCharType="separate"/>
        </w:r>
        <w:r w:rsidR="008D279A">
          <w:rPr>
            <w:noProof/>
          </w:rPr>
          <w:t>4</w:t>
        </w:r>
        <w:r>
          <w:rPr>
            <w:noProof/>
          </w:rPr>
          <w:fldChar w:fldCharType="end"/>
        </w:r>
      </w:p>
    </w:sdtContent>
  </w:sdt>
  <w:p w:rsidR="009A08D3" w:rsidRDefault="009118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BF" w:rsidRDefault="009118BF" w:rsidP="008D279A">
      <w:pPr>
        <w:spacing w:after="0" w:line="240" w:lineRule="auto"/>
      </w:pPr>
      <w:r>
        <w:separator/>
      </w:r>
    </w:p>
  </w:footnote>
  <w:footnote w:type="continuationSeparator" w:id="0">
    <w:p w:rsidR="009118BF" w:rsidRDefault="009118BF" w:rsidP="008D279A">
      <w:pPr>
        <w:spacing w:after="0" w:line="240" w:lineRule="auto"/>
      </w:pPr>
      <w:r>
        <w:continuationSeparator/>
      </w:r>
    </w:p>
  </w:footnote>
  <w:footnote w:id="1">
    <w:p w:rsidR="008D279A" w:rsidRDefault="008D279A" w:rsidP="008D279A">
      <w:pPr>
        <w:pStyle w:val="a6"/>
        <w:bidi/>
      </w:pPr>
      <w:r>
        <w:rPr>
          <w:rStyle w:val="a8"/>
        </w:rPr>
        <w:footnoteRef/>
      </w:r>
      <w:r>
        <w:rPr>
          <w:rtl/>
        </w:rPr>
        <w:t xml:space="preserve"> </w:t>
      </w:r>
      <w:r>
        <w:rPr>
          <w:rFonts w:hint="cs"/>
          <w:rtl/>
        </w:rPr>
        <w:t xml:space="preserve">אין הסכמה אקדמית בין החוקרים בנוגע לשאלה האם </w:t>
      </w:r>
      <w:proofErr w:type="spellStart"/>
      <w:r>
        <w:rPr>
          <w:rFonts w:hint="cs"/>
          <w:rtl/>
        </w:rPr>
        <w:t>כמאליזם</w:t>
      </w:r>
      <w:proofErr w:type="spellEnd"/>
      <w:r>
        <w:rPr>
          <w:rFonts w:hint="cs"/>
          <w:rtl/>
        </w:rPr>
        <w:t xml:space="preserve"> </w:t>
      </w:r>
      <w:proofErr w:type="spellStart"/>
      <w:r>
        <w:rPr>
          <w:rFonts w:hint="cs"/>
          <w:rtl/>
        </w:rPr>
        <w:t>ואתאטורקיזם</w:t>
      </w:r>
      <w:proofErr w:type="spellEnd"/>
      <w:r>
        <w:rPr>
          <w:rFonts w:hint="cs"/>
          <w:rtl/>
        </w:rPr>
        <w:t xml:space="preserve"> מהווים מושגים מקבילים, או שכל אחד מהם מייצג אידיאולוגיה פוליטית שונה. הפרק הראשון של עבודת מחקר זה ששמו "הרקע ההיסטורי" מנתח מחלוקת זו.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9A"/>
    <w:rsid w:val="008D279A"/>
    <w:rsid w:val="009118BF"/>
    <w:rsid w:val="00D63F12"/>
    <w:rsid w:val="00E0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DCBC-0A84-40A6-8664-631BABDA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79A"/>
    <w:pPr>
      <w:spacing w:after="0" w:line="240" w:lineRule="auto"/>
    </w:pPr>
  </w:style>
  <w:style w:type="paragraph" w:styleId="a4">
    <w:name w:val="footer"/>
    <w:basedOn w:val="a"/>
    <w:link w:val="a5"/>
    <w:uiPriority w:val="99"/>
    <w:unhideWhenUsed/>
    <w:rsid w:val="008D279A"/>
    <w:pPr>
      <w:tabs>
        <w:tab w:val="center" w:pos="4680"/>
        <w:tab w:val="right" w:pos="9360"/>
      </w:tabs>
      <w:spacing w:after="0" w:line="240" w:lineRule="auto"/>
    </w:pPr>
  </w:style>
  <w:style w:type="character" w:customStyle="1" w:styleId="a5">
    <w:name w:val="כותרת תחתונה תו"/>
    <w:basedOn w:val="a0"/>
    <w:link w:val="a4"/>
    <w:uiPriority w:val="99"/>
    <w:rsid w:val="008D279A"/>
  </w:style>
  <w:style w:type="paragraph" w:styleId="a6">
    <w:name w:val="footnote text"/>
    <w:link w:val="a7"/>
    <w:uiPriority w:val="99"/>
    <w:rsid w:val="008D279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a7">
    <w:name w:val="טקסט הערת שוליים תו"/>
    <w:basedOn w:val="a0"/>
    <w:link w:val="a6"/>
    <w:uiPriority w:val="99"/>
    <w:rsid w:val="008D279A"/>
    <w:rPr>
      <w:rFonts w:ascii="Times New Roman" w:eastAsia="Times New Roman" w:hAnsi="Times New Roman" w:cs="Times New Roman"/>
      <w:color w:val="000000"/>
      <w:sz w:val="20"/>
      <w:szCs w:val="20"/>
      <w:u w:color="000000"/>
      <w:bdr w:val="nil"/>
    </w:rPr>
  </w:style>
  <w:style w:type="character" w:styleId="a8">
    <w:name w:val="footnote reference"/>
    <w:basedOn w:val="a0"/>
    <w:uiPriority w:val="99"/>
    <w:semiHidden/>
    <w:unhideWhenUsed/>
    <w:rsid w:val="008D2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6039</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2017-07-17T09:39:00Z</dcterms:created>
  <dcterms:modified xsi:type="dcterms:W3CDTF">2017-07-17T09:40:00Z</dcterms:modified>
</cp:coreProperties>
</file>